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BC29A" w14:textId="0F4C3FA6" w:rsidR="00B56CB2" w:rsidRDefault="00857736" w:rsidP="163F37FD">
      <w:pPr>
        <w:rPr>
          <w:rFonts w:ascii="Arial" w:hAnsi="Arial" w:cs="Arial"/>
          <w:sz w:val="22"/>
        </w:rPr>
      </w:pPr>
      <w:r w:rsidRPr="163F37FD">
        <w:rPr>
          <w:rStyle w:val="Strong"/>
          <w:color w:val="auto"/>
        </w:rPr>
        <w:t>Purpose:</w:t>
      </w:r>
      <w:r w:rsidR="002C3BAA" w:rsidRPr="163F37FD">
        <w:rPr>
          <w:rFonts w:ascii="Arial" w:hAnsi="Arial" w:cs="Arial"/>
          <w:sz w:val="22"/>
        </w:rPr>
        <w:t xml:space="preserve"> </w:t>
      </w:r>
      <w:r w:rsidR="00B56CB2" w:rsidRPr="163F37FD">
        <w:rPr>
          <w:rFonts w:ascii="Arial" w:hAnsi="Arial" w:cs="Arial"/>
          <w:sz w:val="22"/>
        </w:rPr>
        <w:t>The purpose of t</w:t>
      </w:r>
      <w:r w:rsidR="001B565A" w:rsidRPr="163F37FD">
        <w:rPr>
          <w:rFonts w:ascii="Arial" w:hAnsi="Arial" w:cs="Arial"/>
          <w:sz w:val="22"/>
        </w:rPr>
        <w:t>h</w:t>
      </w:r>
      <w:r w:rsidR="00CF4430" w:rsidRPr="163F37FD">
        <w:rPr>
          <w:rFonts w:ascii="Arial" w:hAnsi="Arial" w:cs="Arial"/>
          <w:sz w:val="22"/>
        </w:rPr>
        <w:t>is tool</w:t>
      </w:r>
      <w:r w:rsidR="00B56CB2" w:rsidRPr="163F37FD">
        <w:rPr>
          <w:rFonts w:ascii="Arial" w:hAnsi="Arial" w:cs="Arial"/>
          <w:sz w:val="22"/>
        </w:rPr>
        <w:t xml:space="preserve"> is to</w:t>
      </w:r>
      <w:r w:rsidR="001B565A" w:rsidRPr="163F37FD">
        <w:rPr>
          <w:rFonts w:ascii="Arial" w:hAnsi="Arial" w:cs="Arial"/>
          <w:sz w:val="22"/>
        </w:rPr>
        <w:t xml:space="preserve"> provide</w:t>
      </w:r>
      <w:r w:rsidR="00B56CB2" w:rsidRPr="163F37FD">
        <w:rPr>
          <w:rFonts w:ascii="Arial" w:hAnsi="Arial" w:cs="Arial"/>
          <w:sz w:val="22"/>
        </w:rPr>
        <w:t xml:space="preserve"> best practice recommendations and a</w:t>
      </w:r>
      <w:r w:rsidR="001B565A" w:rsidRPr="163F37FD">
        <w:rPr>
          <w:rFonts w:ascii="Arial" w:hAnsi="Arial" w:cs="Arial"/>
          <w:sz w:val="22"/>
        </w:rPr>
        <w:t xml:space="preserve"> comprehensive template </w:t>
      </w:r>
      <w:r w:rsidR="00BF51B5" w:rsidRPr="163F37FD">
        <w:rPr>
          <w:rFonts w:ascii="Arial" w:hAnsi="Arial" w:cs="Arial"/>
          <w:sz w:val="22"/>
        </w:rPr>
        <w:t xml:space="preserve">for </w:t>
      </w:r>
      <w:r w:rsidR="00B56CB2" w:rsidRPr="163F37FD">
        <w:rPr>
          <w:rFonts w:ascii="Arial" w:hAnsi="Arial" w:cs="Arial"/>
          <w:sz w:val="22"/>
        </w:rPr>
        <w:t>manufacturer communication of</w:t>
      </w:r>
      <w:r w:rsidR="00BF51B5" w:rsidRPr="163F37FD">
        <w:rPr>
          <w:rFonts w:ascii="Arial" w:hAnsi="Arial" w:cs="Arial"/>
          <w:sz w:val="22"/>
        </w:rPr>
        <w:t xml:space="preserve"> </w:t>
      </w:r>
      <w:r w:rsidR="00195C0C">
        <w:rPr>
          <w:rFonts w:ascii="Arial" w:hAnsi="Arial" w:cs="Arial"/>
          <w:sz w:val="22"/>
        </w:rPr>
        <w:t>N</w:t>
      </w:r>
      <w:r w:rsidR="00195C0C" w:rsidRPr="163F37FD">
        <w:rPr>
          <w:rFonts w:ascii="Arial" w:hAnsi="Arial" w:cs="Arial"/>
          <w:sz w:val="22"/>
        </w:rPr>
        <w:t xml:space="preserve">ational </w:t>
      </w:r>
      <w:r w:rsidR="00195C0C">
        <w:rPr>
          <w:rFonts w:ascii="Arial" w:hAnsi="Arial" w:cs="Arial"/>
          <w:sz w:val="22"/>
        </w:rPr>
        <w:t>D</w:t>
      </w:r>
      <w:r w:rsidR="00195C0C" w:rsidRPr="163F37FD">
        <w:rPr>
          <w:rFonts w:ascii="Arial" w:hAnsi="Arial" w:cs="Arial"/>
          <w:sz w:val="22"/>
        </w:rPr>
        <w:t xml:space="preserve">rug </w:t>
      </w:r>
      <w:r w:rsidR="00195C0C">
        <w:rPr>
          <w:rFonts w:ascii="Arial" w:hAnsi="Arial" w:cs="Arial"/>
          <w:sz w:val="22"/>
        </w:rPr>
        <w:t>C</w:t>
      </w:r>
      <w:r w:rsidR="00195C0C" w:rsidRPr="163F37FD">
        <w:rPr>
          <w:rFonts w:ascii="Arial" w:hAnsi="Arial" w:cs="Arial"/>
          <w:sz w:val="22"/>
        </w:rPr>
        <w:t xml:space="preserve">ode </w:t>
      </w:r>
      <w:r w:rsidR="004678F4" w:rsidRPr="163F37FD">
        <w:rPr>
          <w:rFonts w:ascii="Arial" w:hAnsi="Arial" w:cs="Arial"/>
          <w:sz w:val="22"/>
        </w:rPr>
        <w:t>(NDC)</w:t>
      </w:r>
      <w:r w:rsidR="00BF51B5" w:rsidRPr="163F37FD">
        <w:rPr>
          <w:rFonts w:ascii="Arial" w:hAnsi="Arial" w:cs="Arial"/>
          <w:sz w:val="22"/>
        </w:rPr>
        <w:t xml:space="preserve"> changes </w:t>
      </w:r>
      <w:r w:rsidR="00C145E8" w:rsidRPr="163F37FD">
        <w:rPr>
          <w:rFonts w:ascii="Arial" w:hAnsi="Arial" w:cs="Arial"/>
          <w:sz w:val="22"/>
        </w:rPr>
        <w:t xml:space="preserve">to </w:t>
      </w:r>
      <w:r w:rsidR="009278A2" w:rsidRPr="163F37FD">
        <w:rPr>
          <w:rFonts w:ascii="Arial" w:hAnsi="Arial" w:cs="Arial"/>
          <w:sz w:val="22"/>
        </w:rPr>
        <w:t xml:space="preserve">appropriate stakeholders </w:t>
      </w:r>
      <w:r w:rsidR="00B56CB2" w:rsidRPr="163F37FD">
        <w:rPr>
          <w:rFonts w:ascii="Arial" w:hAnsi="Arial" w:cs="Arial"/>
          <w:sz w:val="22"/>
        </w:rPr>
        <w:t>when</w:t>
      </w:r>
      <w:r w:rsidR="009278A2" w:rsidRPr="163F37FD">
        <w:rPr>
          <w:rFonts w:ascii="Arial" w:hAnsi="Arial" w:cs="Arial"/>
          <w:sz w:val="22"/>
        </w:rPr>
        <w:t xml:space="preserve"> allow</w:t>
      </w:r>
      <w:r w:rsidR="00B56CB2" w:rsidRPr="163F37FD">
        <w:rPr>
          <w:rFonts w:ascii="Arial" w:hAnsi="Arial" w:cs="Arial"/>
          <w:sz w:val="22"/>
        </w:rPr>
        <w:t>ing</w:t>
      </w:r>
      <w:r w:rsidR="009278A2" w:rsidRPr="163F37FD">
        <w:rPr>
          <w:rFonts w:ascii="Arial" w:hAnsi="Arial" w:cs="Arial"/>
          <w:sz w:val="22"/>
        </w:rPr>
        <w:t xml:space="preserve"> transfer of accumulations from existing NDC(s) to new NDC(s). </w:t>
      </w:r>
    </w:p>
    <w:p w14:paraId="4B96AB6A" w14:textId="77777777" w:rsidR="00B56CB2" w:rsidRDefault="00B56CB2" w:rsidP="00B56CB2">
      <w:pPr>
        <w:rPr>
          <w:rFonts w:ascii="Arial" w:hAnsi="Arial" w:cs="Arial"/>
          <w:sz w:val="22"/>
        </w:rPr>
      </w:pPr>
    </w:p>
    <w:p w14:paraId="70E6A11D" w14:textId="62644460" w:rsidR="00B56CB2" w:rsidRPr="00E43967" w:rsidRDefault="00B56CB2" w:rsidP="00B56CB2">
      <w:pPr>
        <w:rPr>
          <w:rFonts w:asciiTheme="minorHAnsi" w:hAnsiTheme="minorHAnsi" w:cstheme="minorHAnsi"/>
          <w:sz w:val="22"/>
        </w:rPr>
      </w:pPr>
      <w:r>
        <w:rPr>
          <w:rFonts w:asciiTheme="minorHAnsi" w:hAnsiTheme="minorHAnsi" w:cstheme="minorHAnsi"/>
          <w:sz w:val="22"/>
        </w:rPr>
        <w:t>I</w:t>
      </w:r>
      <w:r w:rsidRPr="00E43967">
        <w:rPr>
          <w:rFonts w:asciiTheme="minorHAnsi" w:hAnsiTheme="minorHAnsi" w:cstheme="minorHAnsi"/>
          <w:sz w:val="22"/>
        </w:rPr>
        <w:t>nclude</w:t>
      </w:r>
      <w:r>
        <w:rPr>
          <w:rFonts w:asciiTheme="minorHAnsi" w:hAnsiTheme="minorHAnsi" w:cstheme="minorHAnsi"/>
          <w:sz w:val="22"/>
        </w:rPr>
        <w:t>d within this tool are</w:t>
      </w:r>
      <w:r w:rsidRPr="00E43967">
        <w:rPr>
          <w:rFonts w:asciiTheme="minorHAnsi" w:hAnsiTheme="minorHAnsi" w:cstheme="minorHAnsi"/>
          <w:sz w:val="22"/>
        </w:rPr>
        <w:t xml:space="preserve"> the following </w:t>
      </w:r>
      <w:r>
        <w:rPr>
          <w:rFonts w:asciiTheme="minorHAnsi" w:hAnsiTheme="minorHAnsi" w:cstheme="minorHAnsi"/>
          <w:sz w:val="22"/>
        </w:rPr>
        <w:t>recommendations</w:t>
      </w:r>
      <w:r w:rsidRPr="00E43967">
        <w:rPr>
          <w:rFonts w:asciiTheme="minorHAnsi" w:hAnsiTheme="minorHAnsi" w:cstheme="minorHAnsi"/>
          <w:sz w:val="22"/>
        </w:rPr>
        <w:t xml:space="preserve"> </w:t>
      </w:r>
      <w:r>
        <w:rPr>
          <w:rFonts w:asciiTheme="minorHAnsi" w:hAnsiTheme="minorHAnsi" w:cstheme="minorHAnsi"/>
          <w:sz w:val="22"/>
        </w:rPr>
        <w:t xml:space="preserve">and resources </w:t>
      </w:r>
      <w:r w:rsidR="004E5102">
        <w:rPr>
          <w:rFonts w:asciiTheme="minorHAnsi" w:hAnsiTheme="minorHAnsi" w:cstheme="minorHAnsi"/>
          <w:sz w:val="22"/>
        </w:rPr>
        <w:t xml:space="preserve">for </w:t>
      </w:r>
      <w:r w:rsidRPr="00E43967">
        <w:rPr>
          <w:rFonts w:asciiTheme="minorHAnsi" w:hAnsiTheme="minorHAnsi" w:cstheme="minorHAnsi"/>
          <w:sz w:val="22"/>
        </w:rPr>
        <w:t>t</w:t>
      </w:r>
      <w:r>
        <w:rPr>
          <w:rFonts w:asciiTheme="minorHAnsi" w:hAnsiTheme="minorHAnsi" w:cstheme="minorHAnsi"/>
          <w:sz w:val="22"/>
        </w:rPr>
        <w:t>his type of communication:</w:t>
      </w:r>
    </w:p>
    <w:p w14:paraId="5ABFD0F1" w14:textId="7B3287B6" w:rsidR="00B56CB2" w:rsidRPr="00AC36B6" w:rsidRDefault="00B56CB2" w:rsidP="00B56CB2">
      <w:pPr>
        <w:pStyle w:val="ListParagraph"/>
        <w:numPr>
          <w:ilvl w:val="0"/>
          <w:numId w:val="37"/>
        </w:numPr>
        <w:rPr>
          <w:rFonts w:asciiTheme="minorHAnsi" w:hAnsiTheme="minorHAnsi" w:cstheme="minorHAnsi"/>
          <w:b/>
          <w:sz w:val="22"/>
        </w:rPr>
      </w:pPr>
      <w:r>
        <w:rPr>
          <w:rFonts w:asciiTheme="minorHAnsi" w:hAnsiTheme="minorHAnsi" w:cstheme="minorHAnsi"/>
          <w:sz w:val="22"/>
        </w:rPr>
        <w:t>Details</w:t>
      </w:r>
      <w:r w:rsidRPr="00E43967">
        <w:rPr>
          <w:rFonts w:asciiTheme="minorHAnsi" w:hAnsiTheme="minorHAnsi" w:cstheme="minorHAnsi"/>
          <w:sz w:val="22"/>
        </w:rPr>
        <w:t xml:space="preserve"> to </w:t>
      </w:r>
      <w:proofErr w:type="gramStart"/>
      <w:r w:rsidRPr="00E43967">
        <w:rPr>
          <w:rFonts w:asciiTheme="minorHAnsi" w:hAnsiTheme="minorHAnsi" w:cstheme="minorHAnsi"/>
          <w:sz w:val="22"/>
        </w:rPr>
        <w:t>include</w:t>
      </w:r>
      <w:proofErr w:type="gramEnd"/>
      <w:r w:rsidRPr="00E43967">
        <w:rPr>
          <w:rFonts w:asciiTheme="minorHAnsi" w:hAnsiTheme="minorHAnsi" w:cstheme="minorHAnsi"/>
          <w:sz w:val="22"/>
        </w:rPr>
        <w:t xml:space="preserve"> </w:t>
      </w:r>
    </w:p>
    <w:p w14:paraId="0BBFA49E" w14:textId="5C8D4B19" w:rsidR="00B56CB2" w:rsidRPr="00E43967" w:rsidRDefault="00B56CB2" w:rsidP="00B56CB2">
      <w:pPr>
        <w:pStyle w:val="ListParagraph"/>
        <w:numPr>
          <w:ilvl w:val="0"/>
          <w:numId w:val="37"/>
        </w:numPr>
        <w:rPr>
          <w:rFonts w:asciiTheme="minorHAnsi" w:hAnsiTheme="minorHAnsi" w:cstheme="minorHAnsi"/>
          <w:b/>
          <w:sz w:val="22"/>
        </w:rPr>
      </w:pPr>
      <w:r>
        <w:rPr>
          <w:rFonts w:asciiTheme="minorHAnsi" w:hAnsiTheme="minorHAnsi" w:cstheme="minorHAnsi"/>
          <w:sz w:val="22"/>
        </w:rPr>
        <w:t xml:space="preserve">Process for </w:t>
      </w:r>
      <w:proofErr w:type="gramStart"/>
      <w:r>
        <w:rPr>
          <w:rFonts w:asciiTheme="minorHAnsi" w:hAnsiTheme="minorHAnsi" w:cstheme="minorHAnsi"/>
          <w:sz w:val="22"/>
        </w:rPr>
        <w:t>communicating</w:t>
      </w:r>
      <w:proofErr w:type="gramEnd"/>
    </w:p>
    <w:p w14:paraId="5D082AC0" w14:textId="3386F332" w:rsidR="00727955" w:rsidRPr="00B56CB2" w:rsidRDefault="00B56CB2" w:rsidP="00B56CB2">
      <w:pPr>
        <w:pStyle w:val="ListParagraph"/>
        <w:numPr>
          <w:ilvl w:val="0"/>
          <w:numId w:val="37"/>
        </w:numPr>
        <w:rPr>
          <w:rFonts w:ascii="Arial" w:hAnsi="Arial" w:cs="Arial"/>
          <w:sz w:val="22"/>
        </w:rPr>
      </w:pPr>
      <w:r w:rsidRPr="00AC36B6">
        <w:rPr>
          <w:rFonts w:asciiTheme="minorHAnsi" w:hAnsiTheme="minorHAnsi" w:cstheme="minorHAnsi"/>
          <w:sz w:val="22"/>
        </w:rPr>
        <w:t xml:space="preserve">Sample letter for notification </w:t>
      </w:r>
      <w:r>
        <w:rPr>
          <w:rFonts w:asciiTheme="minorHAnsi" w:hAnsiTheme="minorHAnsi" w:cstheme="minorHAnsi"/>
          <w:sz w:val="22"/>
        </w:rPr>
        <w:t>of stakeholders</w:t>
      </w:r>
    </w:p>
    <w:p w14:paraId="3E95CE01" w14:textId="77777777" w:rsidR="00B56CB2" w:rsidRPr="00B56CB2" w:rsidRDefault="00B56CB2" w:rsidP="00B56CB2">
      <w:pPr>
        <w:pStyle w:val="ListParagraph"/>
        <w:rPr>
          <w:rFonts w:ascii="Arial" w:hAnsi="Arial" w:cs="Arial"/>
          <w:sz w:val="22"/>
        </w:rPr>
      </w:pPr>
    </w:p>
    <w:p w14:paraId="7E156E8B" w14:textId="20C79586" w:rsidR="00E43967" w:rsidRDefault="007644EF" w:rsidP="163F37FD">
      <w:pPr>
        <w:rPr>
          <w:rFonts w:ascii="Arial" w:hAnsi="Arial" w:cs="Arial"/>
          <w:sz w:val="22"/>
        </w:rPr>
      </w:pPr>
      <w:r w:rsidRPr="163F37FD">
        <w:rPr>
          <w:rStyle w:val="Strong"/>
          <w:color w:val="auto"/>
        </w:rPr>
        <w:t>Background</w:t>
      </w:r>
      <w:r w:rsidR="00B37BDE" w:rsidRPr="163F37FD">
        <w:rPr>
          <w:rStyle w:val="Strong"/>
          <w:color w:val="auto"/>
        </w:rPr>
        <w:t>:</w:t>
      </w:r>
      <w:r w:rsidR="00CF4430" w:rsidRPr="163F37FD">
        <w:rPr>
          <w:rFonts w:ascii="Arial" w:hAnsi="Arial" w:cs="Arial"/>
          <w:sz w:val="22"/>
        </w:rPr>
        <w:t xml:space="preserve"> </w:t>
      </w:r>
      <w:r w:rsidR="00E43967" w:rsidRPr="163F37FD">
        <w:rPr>
          <w:rFonts w:ascii="Arial" w:hAnsi="Arial" w:cs="Arial"/>
          <w:sz w:val="22"/>
        </w:rPr>
        <w:t xml:space="preserve">Covered entities may use a replenishment inventory model to </w:t>
      </w:r>
      <w:r w:rsidR="007A41A3" w:rsidRPr="163F37FD">
        <w:rPr>
          <w:rFonts w:ascii="Arial" w:hAnsi="Arial" w:cs="Arial"/>
          <w:sz w:val="22"/>
        </w:rPr>
        <w:t xml:space="preserve">dispense drugs to both 340B eligible and ineligible patients using one physical inventory. </w:t>
      </w:r>
      <w:r w:rsidR="00E43967" w:rsidRPr="163F37FD">
        <w:rPr>
          <w:rFonts w:ascii="Arial" w:hAnsi="Arial" w:cs="Arial"/>
          <w:sz w:val="22"/>
        </w:rPr>
        <w:t xml:space="preserve">Replenishment models operate on a neutral inventory premise where the inventory that is purchased “replenishes” a dispensing/administration activity that already occurred in the past. </w:t>
      </w:r>
    </w:p>
    <w:p w14:paraId="6407110E" w14:textId="7E262804" w:rsidR="00E43967" w:rsidRDefault="00E43967" w:rsidP="00E43967">
      <w:pPr>
        <w:rPr>
          <w:rFonts w:ascii="Arial" w:hAnsi="Arial" w:cs="Arial"/>
          <w:sz w:val="22"/>
        </w:rPr>
      </w:pPr>
    </w:p>
    <w:p w14:paraId="78CB7408" w14:textId="620AF1D2" w:rsidR="00E43967" w:rsidRDefault="00E43967" w:rsidP="00E43967">
      <w:pPr>
        <w:rPr>
          <w:rFonts w:ascii="Arial" w:hAnsi="Arial" w:cs="Arial"/>
          <w:sz w:val="22"/>
        </w:rPr>
      </w:pPr>
      <w:r w:rsidRPr="00E43967">
        <w:rPr>
          <w:rFonts w:ascii="Arial" w:hAnsi="Arial" w:cs="Arial"/>
          <w:sz w:val="22"/>
        </w:rPr>
        <w:t>Split-billing software is often used to help covered entities manage a</w:t>
      </w:r>
      <w:r w:rsidR="007A41A3">
        <w:rPr>
          <w:rFonts w:ascii="Arial" w:hAnsi="Arial" w:cs="Arial"/>
          <w:sz w:val="22"/>
        </w:rPr>
        <w:t xml:space="preserve"> </w:t>
      </w:r>
      <w:r w:rsidRPr="00E43967">
        <w:rPr>
          <w:rFonts w:ascii="Arial" w:hAnsi="Arial" w:cs="Arial"/>
          <w:sz w:val="22"/>
        </w:rPr>
        <w:t>replenishment inventory model. The entity tracks data feeds (such as inpatient or outpatient</w:t>
      </w:r>
      <w:r w:rsidR="007A41A3">
        <w:rPr>
          <w:rFonts w:ascii="Arial" w:hAnsi="Arial" w:cs="Arial"/>
          <w:sz w:val="22"/>
        </w:rPr>
        <w:t xml:space="preserve"> </w:t>
      </w:r>
      <w:r w:rsidRPr="00E43967">
        <w:rPr>
          <w:rFonts w:ascii="Arial" w:hAnsi="Arial" w:cs="Arial"/>
          <w:sz w:val="22"/>
        </w:rPr>
        <w:t>status, patient and prescriber eligibility, clinic location, Medicaid status, drug identifier, and</w:t>
      </w:r>
      <w:r w:rsidR="007A41A3">
        <w:rPr>
          <w:rFonts w:ascii="Arial" w:hAnsi="Arial" w:cs="Arial"/>
          <w:sz w:val="22"/>
        </w:rPr>
        <w:t xml:space="preserve"> </w:t>
      </w:r>
      <w:r w:rsidRPr="00E43967">
        <w:rPr>
          <w:rFonts w:ascii="Arial" w:hAnsi="Arial" w:cs="Arial"/>
          <w:sz w:val="22"/>
        </w:rPr>
        <w:t>quantity dispensed) and loads these data points into split-billing software. This software</w:t>
      </w:r>
      <w:r w:rsidR="007A41A3">
        <w:rPr>
          <w:rFonts w:ascii="Arial" w:hAnsi="Arial" w:cs="Arial"/>
          <w:sz w:val="22"/>
        </w:rPr>
        <w:t xml:space="preserve"> </w:t>
      </w:r>
      <w:r w:rsidRPr="00E43967">
        <w:rPr>
          <w:rFonts w:ascii="Arial" w:hAnsi="Arial" w:cs="Arial"/>
          <w:sz w:val="22"/>
        </w:rPr>
        <w:t>uses logic based on configurations, chosen by the entity, to virtually separate 340B from</w:t>
      </w:r>
      <w:r w:rsidR="007A41A3">
        <w:rPr>
          <w:rFonts w:ascii="Arial" w:hAnsi="Arial" w:cs="Arial"/>
          <w:sz w:val="22"/>
        </w:rPr>
        <w:t xml:space="preserve"> </w:t>
      </w:r>
      <w:r w:rsidRPr="00E43967">
        <w:rPr>
          <w:rFonts w:ascii="Arial" w:hAnsi="Arial" w:cs="Arial"/>
          <w:sz w:val="22"/>
        </w:rPr>
        <w:t>non-340B transactions after they occur. The software then determines from which account</w:t>
      </w:r>
      <w:r w:rsidR="007A41A3">
        <w:rPr>
          <w:rFonts w:ascii="Arial" w:hAnsi="Arial" w:cs="Arial"/>
          <w:sz w:val="22"/>
        </w:rPr>
        <w:t xml:space="preserve"> </w:t>
      </w:r>
      <w:r w:rsidRPr="00E43967">
        <w:rPr>
          <w:rFonts w:ascii="Arial" w:hAnsi="Arial" w:cs="Arial"/>
          <w:sz w:val="22"/>
        </w:rPr>
        <w:t>each transaction should be reordered.</w:t>
      </w:r>
    </w:p>
    <w:p w14:paraId="30E34D5E" w14:textId="77777777" w:rsidR="007A41A3" w:rsidRPr="00E43967" w:rsidRDefault="007A41A3" w:rsidP="00E43967">
      <w:pPr>
        <w:rPr>
          <w:rFonts w:ascii="Arial" w:hAnsi="Arial" w:cs="Arial"/>
          <w:sz w:val="22"/>
        </w:rPr>
      </w:pPr>
    </w:p>
    <w:p w14:paraId="30E33060" w14:textId="7CD4D9F5" w:rsidR="00AC36B6" w:rsidRDefault="00E43967" w:rsidP="00AC36B6">
      <w:pPr>
        <w:rPr>
          <w:rFonts w:ascii="Arial" w:hAnsi="Arial" w:cs="Arial"/>
          <w:sz w:val="22"/>
        </w:rPr>
      </w:pPr>
      <w:r w:rsidRPr="00E43967">
        <w:rPr>
          <w:rFonts w:ascii="Arial" w:hAnsi="Arial" w:cs="Arial"/>
          <w:sz w:val="22"/>
        </w:rPr>
        <w:t>The term “split-billing” is used to describe this software, which “splits” a purchase order into</w:t>
      </w:r>
      <w:r w:rsidR="007A41A3">
        <w:rPr>
          <w:rFonts w:ascii="Arial" w:hAnsi="Arial" w:cs="Arial"/>
          <w:sz w:val="22"/>
        </w:rPr>
        <w:t xml:space="preserve"> </w:t>
      </w:r>
      <w:r w:rsidRPr="00E43967">
        <w:rPr>
          <w:rFonts w:ascii="Arial" w:hAnsi="Arial" w:cs="Arial"/>
          <w:sz w:val="22"/>
        </w:rPr>
        <w:t xml:space="preserve">two or three </w:t>
      </w:r>
      <w:r w:rsidR="007A41A3">
        <w:rPr>
          <w:rFonts w:ascii="Arial" w:hAnsi="Arial" w:cs="Arial"/>
          <w:sz w:val="22"/>
        </w:rPr>
        <w:t>d</w:t>
      </w:r>
      <w:r w:rsidRPr="00E43967">
        <w:rPr>
          <w:rFonts w:ascii="Arial" w:hAnsi="Arial" w:cs="Arial"/>
          <w:sz w:val="22"/>
        </w:rPr>
        <w:t>ifferent accounts (e.g., 340B, GPO, non-GPO/WAC). This software can help</w:t>
      </w:r>
      <w:r w:rsidR="007A41A3">
        <w:rPr>
          <w:rFonts w:ascii="Arial" w:hAnsi="Arial" w:cs="Arial"/>
          <w:sz w:val="22"/>
        </w:rPr>
        <w:t xml:space="preserve"> </w:t>
      </w:r>
      <w:r w:rsidRPr="00E43967">
        <w:rPr>
          <w:rFonts w:ascii="Arial" w:hAnsi="Arial" w:cs="Arial"/>
          <w:sz w:val="22"/>
        </w:rPr>
        <w:t xml:space="preserve">the entity place orders in </w:t>
      </w:r>
      <w:r w:rsidR="007A41A3" w:rsidRPr="007A41A3">
        <w:rPr>
          <w:rFonts w:ascii="Arial" w:hAnsi="Arial" w:cs="Arial"/>
          <w:sz w:val="22"/>
        </w:rPr>
        <w:t>appropriate accounts while maintaining auditable records of the</w:t>
      </w:r>
      <w:r w:rsidR="007A41A3">
        <w:rPr>
          <w:rFonts w:ascii="Arial" w:hAnsi="Arial" w:cs="Arial"/>
          <w:sz w:val="22"/>
        </w:rPr>
        <w:t xml:space="preserve"> </w:t>
      </w:r>
      <w:r w:rsidR="007A41A3" w:rsidRPr="007A41A3">
        <w:rPr>
          <w:rFonts w:ascii="Arial" w:hAnsi="Arial" w:cs="Arial"/>
          <w:sz w:val="22"/>
        </w:rPr>
        <w:t>accumulations and purchases.</w:t>
      </w:r>
      <w:r w:rsidR="009278A2">
        <w:rPr>
          <w:rFonts w:ascii="Arial" w:hAnsi="Arial" w:cs="Arial"/>
          <w:sz w:val="22"/>
        </w:rPr>
        <w:t xml:space="preserve"> </w:t>
      </w:r>
    </w:p>
    <w:p w14:paraId="0CBA907B" w14:textId="77777777" w:rsidR="00AC36B6" w:rsidRDefault="00AC36B6" w:rsidP="00AC36B6">
      <w:pPr>
        <w:rPr>
          <w:rFonts w:asciiTheme="minorHAnsi" w:hAnsiTheme="minorHAnsi" w:cstheme="minorHAnsi"/>
          <w:sz w:val="22"/>
        </w:rPr>
      </w:pPr>
    </w:p>
    <w:p w14:paraId="393C8E7E" w14:textId="6885DD04" w:rsidR="00493085" w:rsidRPr="00E43967" w:rsidRDefault="00AC36B6" w:rsidP="00E43967">
      <w:pPr>
        <w:rPr>
          <w:rFonts w:asciiTheme="minorHAnsi" w:hAnsiTheme="minorHAnsi" w:cstheme="minorHAnsi"/>
          <w:sz w:val="22"/>
        </w:rPr>
      </w:pPr>
      <w:r>
        <w:rPr>
          <w:rFonts w:asciiTheme="minorHAnsi" w:hAnsiTheme="minorHAnsi" w:cstheme="minorHAnsi"/>
          <w:sz w:val="22"/>
        </w:rPr>
        <w:t>Because accumulations are established in each of the accounts by using an 11-digit NDC match for replenishment, purchase of new NDCs typically begin</w:t>
      </w:r>
      <w:r w:rsidR="00195C0C">
        <w:rPr>
          <w:rFonts w:asciiTheme="minorHAnsi" w:hAnsiTheme="minorHAnsi" w:cstheme="minorHAnsi"/>
          <w:sz w:val="22"/>
        </w:rPr>
        <w:t>s</w:t>
      </w:r>
      <w:r>
        <w:rPr>
          <w:rFonts w:asciiTheme="minorHAnsi" w:hAnsiTheme="minorHAnsi" w:cstheme="minorHAnsi"/>
          <w:sz w:val="22"/>
        </w:rPr>
        <w:t xml:space="preserve"> a new replenishment cycle. Existing accumulations are not able to be used toward the purchase of new NDCs. </w:t>
      </w:r>
      <w:r w:rsidR="00195C0C">
        <w:rPr>
          <w:rFonts w:asciiTheme="minorHAnsi" w:hAnsiTheme="minorHAnsi" w:cstheme="minorHAnsi"/>
          <w:sz w:val="22"/>
        </w:rPr>
        <w:t>If</w:t>
      </w:r>
      <w:r>
        <w:rPr>
          <w:rFonts w:asciiTheme="minorHAnsi" w:hAnsiTheme="minorHAnsi" w:cstheme="minorHAnsi"/>
          <w:sz w:val="22"/>
        </w:rPr>
        <w:t xml:space="preserve"> there is a change in NDC for a given product, manufacturers may elect to allow for transfer of accumulations from existing NDCs to the new NDC. </w:t>
      </w:r>
      <w:r w:rsidR="000E3D73" w:rsidRPr="00E43967">
        <w:rPr>
          <w:rFonts w:asciiTheme="minorHAnsi" w:hAnsiTheme="minorHAnsi" w:cstheme="minorHAnsi"/>
          <w:sz w:val="22"/>
        </w:rPr>
        <w:t xml:space="preserve">To </w:t>
      </w:r>
      <w:r w:rsidR="004E5102">
        <w:rPr>
          <w:rFonts w:asciiTheme="minorHAnsi" w:hAnsiTheme="minorHAnsi" w:cstheme="minorHAnsi"/>
          <w:sz w:val="22"/>
        </w:rPr>
        <w:t>support</w:t>
      </w:r>
      <w:r w:rsidR="004E5102" w:rsidRPr="00E43967">
        <w:rPr>
          <w:rFonts w:asciiTheme="minorHAnsi" w:hAnsiTheme="minorHAnsi" w:cstheme="minorHAnsi"/>
          <w:sz w:val="22"/>
        </w:rPr>
        <w:t xml:space="preserve"> </w:t>
      </w:r>
      <w:r w:rsidR="00E43967">
        <w:rPr>
          <w:rFonts w:asciiTheme="minorHAnsi" w:hAnsiTheme="minorHAnsi" w:cstheme="minorHAnsi"/>
          <w:sz w:val="22"/>
        </w:rPr>
        <w:t>program integrity</w:t>
      </w:r>
      <w:r w:rsidR="009278A2">
        <w:rPr>
          <w:rFonts w:asciiTheme="minorHAnsi" w:hAnsiTheme="minorHAnsi" w:cstheme="minorHAnsi"/>
          <w:sz w:val="22"/>
        </w:rPr>
        <w:t xml:space="preserve"> and </w:t>
      </w:r>
      <w:r w:rsidR="000E3D73" w:rsidRPr="00E43967">
        <w:rPr>
          <w:rFonts w:asciiTheme="minorHAnsi" w:hAnsiTheme="minorHAnsi" w:cstheme="minorHAnsi"/>
          <w:sz w:val="22"/>
        </w:rPr>
        <w:t>compliance</w:t>
      </w:r>
      <w:r w:rsidR="009278A2">
        <w:rPr>
          <w:rFonts w:asciiTheme="minorHAnsi" w:hAnsiTheme="minorHAnsi" w:cstheme="minorHAnsi"/>
          <w:sz w:val="22"/>
        </w:rPr>
        <w:t xml:space="preserve">, </w:t>
      </w:r>
      <w:r w:rsidR="004E5102">
        <w:rPr>
          <w:rFonts w:asciiTheme="minorHAnsi" w:hAnsiTheme="minorHAnsi" w:cstheme="minorHAnsi"/>
          <w:sz w:val="22"/>
        </w:rPr>
        <w:t xml:space="preserve">manufacturers </w:t>
      </w:r>
      <w:r w:rsidR="00195C0C">
        <w:rPr>
          <w:rFonts w:asciiTheme="minorHAnsi" w:hAnsiTheme="minorHAnsi" w:cstheme="minorHAnsi"/>
          <w:sz w:val="22"/>
        </w:rPr>
        <w:t xml:space="preserve">that </w:t>
      </w:r>
      <w:r w:rsidR="004E5102">
        <w:rPr>
          <w:rFonts w:asciiTheme="minorHAnsi" w:hAnsiTheme="minorHAnsi" w:cstheme="minorHAnsi"/>
          <w:sz w:val="22"/>
        </w:rPr>
        <w:t>wish to allow this type of accumulation transfer should provide written communications to the appropriate stakeholders.</w:t>
      </w:r>
      <w:r w:rsidR="009278A2">
        <w:rPr>
          <w:rFonts w:asciiTheme="minorHAnsi" w:hAnsiTheme="minorHAnsi" w:cstheme="minorHAnsi"/>
          <w:sz w:val="22"/>
        </w:rPr>
        <w:t xml:space="preserve"> </w:t>
      </w:r>
    </w:p>
    <w:p w14:paraId="3FC6A8A0" w14:textId="2B3CC7FC" w:rsidR="00493085" w:rsidRDefault="00493085">
      <w:pPr>
        <w:rPr>
          <w:rFonts w:ascii="Arial" w:hAnsi="Arial" w:cs="Arial"/>
          <w:sz w:val="22"/>
        </w:rPr>
      </w:pPr>
    </w:p>
    <w:p w14:paraId="04C383FA" w14:textId="392AE763" w:rsidR="00B56CB2" w:rsidRPr="00162516" w:rsidRDefault="00B56CB2" w:rsidP="00B56CB2">
      <w:pPr>
        <w:rPr>
          <w:rStyle w:val="IntenseEmphasis"/>
          <w:rFonts w:ascii="Arial" w:hAnsi="Arial"/>
          <w:b/>
          <w:i w:val="0"/>
          <w:color w:val="auto"/>
          <w:sz w:val="22"/>
        </w:rPr>
      </w:pPr>
      <w:r w:rsidRPr="00162516">
        <w:rPr>
          <w:rStyle w:val="Strong"/>
          <w:color w:val="auto"/>
        </w:rPr>
        <w:t>Details to Communicate:</w:t>
      </w:r>
    </w:p>
    <w:p w14:paraId="6681B26F" w14:textId="209909FB" w:rsidR="00B56CB2" w:rsidRPr="00B56CB2" w:rsidRDefault="00B56CB2" w:rsidP="00B56CB2">
      <w:pPr>
        <w:pStyle w:val="ListParagraph"/>
        <w:numPr>
          <w:ilvl w:val="0"/>
          <w:numId w:val="39"/>
        </w:numPr>
        <w:rPr>
          <w:rFonts w:ascii="Arial" w:hAnsi="Arial" w:cs="Arial"/>
          <w:b/>
          <w:sz w:val="22"/>
        </w:rPr>
      </w:pPr>
      <w:r>
        <w:rPr>
          <w:rFonts w:ascii="Arial" w:hAnsi="Arial" w:cs="Arial"/>
          <w:bCs/>
          <w:sz w:val="22"/>
        </w:rPr>
        <w:t>Date of communication</w:t>
      </w:r>
    </w:p>
    <w:p w14:paraId="2A209FED" w14:textId="422F6EB8" w:rsidR="00B56CB2" w:rsidRPr="00B56CB2" w:rsidRDefault="00B56CB2" w:rsidP="00B56CB2">
      <w:pPr>
        <w:pStyle w:val="ListParagraph"/>
        <w:numPr>
          <w:ilvl w:val="0"/>
          <w:numId w:val="39"/>
        </w:numPr>
        <w:rPr>
          <w:rFonts w:ascii="Arial" w:hAnsi="Arial" w:cs="Arial"/>
          <w:b/>
          <w:sz w:val="22"/>
        </w:rPr>
      </w:pPr>
      <w:r>
        <w:rPr>
          <w:rFonts w:ascii="Arial" w:hAnsi="Arial" w:cs="Arial"/>
          <w:bCs/>
          <w:sz w:val="22"/>
        </w:rPr>
        <w:t>Effective date</w:t>
      </w:r>
    </w:p>
    <w:p w14:paraId="30B770D8" w14:textId="727CC4AE" w:rsidR="00B56CB2" w:rsidRPr="00B56CB2" w:rsidRDefault="00B56CB2" w:rsidP="00B56CB2">
      <w:pPr>
        <w:pStyle w:val="ListParagraph"/>
        <w:numPr>
          <w:ilvl w:val="0"/>
          <w:numId w:val="39"/>
        </w:numPr>
        <w:rPr>
          <w:rFonts w:ascii="Arial" w:hAnsi="Arial" w:cs="Arial"/>
          <w:b/>
          <w:sz w:val="22"/>
        </w:rPr>
      </w:pPr>
      <w:r>
        <w:rPr>
          <w:rFonts w:ascii="Arial" w:hAnsi="Arial" w:cs="Arial"/>
          <w:bCs/>
          <w:sz w:val="22"/>
        </w:rPr>
        <w:t>Statement of approval to honor accumulations of existing NDC(s) toward the purchase of new NDC(s)</w:t>
      </w:r>
    </w:p>
    <w:p w14:paraId="5483C0AE" w14:textId="41B7420A" w:rsidR="00B56CB2" w:rsidRPr="00B56CB2" w:rsidRDefault="00B56CB2" w:rsidP="00B56CB2">
      <w:pPr>
        <w:pStyle w:val="ListParagraph"/>
        <w:numPr>
          <w:ilvl w:val="0"/>
          <w:numId w:val="39"/>
        </w:numPr>
        <w:rPr>
          <w:rFonts w:ascii="Arial" w:hAnsi="Arial" w:cs="Arial"/>
          <w:b/>
          <w:sz w:val="22"/>
        </w:rPr>
      </w:pPr>
      <w:r>
        <w:rPr>
          <w:rFonts w:ascii="Arial" w:hAnsi="Arial" w:cs="Arial"/>
          <w:bCs/>
          <w:sz w:val="22"/>
        </w:rPr>
        <w:t>Product description (including existing NDC</w:t>
      </w:r>
      <w:r w:rsidR="00195C0C">
        <w:rPr>
          <w:rFonts w:ascii="Arial" w:hAnsi="Arial" w:cs="Arial"/>
          <w:bCs/>
          <w:sz w:val="22"/>
        </w:rPr>
        <w:t>[</w:t>
      </w:r>
      <w:r>
        <w:rPr>
          <w:rFonts w:ascii="Arial" w:hAnsi="Arial" w:cs="Arial"/>
          <w:bCs/>
          <w:sz w:val="22"/>
        </w:rPr>
        <w:t>s</w:t>
      </w:r>
      <w:r w:rsidR="00195C0C">
        <w:rPr>
          <w:rFonts w:ascii="Arial" w:hAnsi="Arial" w:cs="Arial"/>
          <w:bCs/>
          <w:sz w:val="22"/>
        </w:rPr>
        <w:t xml:space="preserve">] </w:t>
      </w:r>
      <w:r>
        <w:rPr>
          <w:rFonts w:ascii="Arial" w:hAnsi="Arial" w:cs="Arial"/>
          <w:bCs/>
          <w:sz w:val="22"/>
        </w:rPr>
        <w:t>and new NDC</w:t>
      </w:r>
      <w:r w:rsidR="00195C0C">
        <w:rPr>
          <w:rFonts w:ascii="Arial" w:hAnsi="Arial" w:cs="Arial"/>
          <w:bCs/>
          <w:sz w:val="22"/>
        </w:rPr>
        <w:t>[</w:t>
      </w:r>
      <w:r>
        <w:rPr>
          <w:rFonts w:ascii="Arial" w:hAnsi="Arial" w:cs="Arial"/>
          <w:bCs/>
          <w:sz w:val="22"/>
        </w:rPr>
        <w:t>s</w:t>
      </w:r>
      <w:r w:rsidR="00195C0C">
        <w:rPr>
          <w:rFonts w:ascii="Arial" w:hAnsi="Arial" w:cs="Arial"/>
          <w:bCs/>
          <w:sz w:val="22"/>
        </w:rPr>
        <w:t>])</w:t>
      </w:r>
    </w:p>
    <w:p w14:paraId="0B8A765C" w14:textId="2E6D575F" w:rsidR="00B56CB2" w:rsidRPr="00B56CB2" w:rsidRDefault="00B56CB2" w:rsidP="00B56CB2">
      <w:pPr>
        <w:pStyle w:val="ListParagraph"/>
        <w:numPr>
          <w:ilvl w:val="0"/>
          <w:numId w:val="39"/>
        </w:numPr>
        <w:rPr>
          <w:rFonts w:ascii="Arial" w:hAnsi="Arial" w:cs="Arial"/>
          <w:b/>
          <w:sz w:val="22"/>
        </w:rPr>
      </w:pPr>
      <w:r>
        <w:rPr>
          <w:rFonts w:ascii="Arial" w:hAnsi="Arial" w:cs="Arial"/>
          <w:bCs/>
          <w:sz w:val="22"/>
        </w:rPr>
        <w:t xml:space="preserve">Expected timeline for transition of product in the supply </w:t>
      </w:r>
      <w:proofErr w:type="gramStart"/>
      <w:r>
        <w:rPr>
          <w:rFonts w:ascii="Arial" w:hAnsi="Arial" w:cs="Arial"/>
          <w:bCs/>
          <w:sz w:val="22"/>
        </w:rPr>
        <w:t>chain</w:t>
      </w:r>
      <w:proofErr w:type="gramEnd"/>
    </w:p>
    <w:p w14:paraId="3890ABFA" w14:textId="33BD93E8" w:rsidR="00B56CB2" w:rsidRPr="00B56CB2" w:rsidRDefault="00B56CB2" w:rsidP="00B56CB2">
      <w:pPr>
        <w:pStyle w:val="ListParagraph"/>
        <w:numPr>
          <w:ilvl w:val="0"/>
          <w:numId w:val="39"/>
        </w:numPr>
        <w:rPr>
          <w:rFonts w:ascii="Arial" w:hAnsi="Arial" w:cs="Arial"/>
          <w:b/>
          <w:sz w:val="22"/>
        </w:rPr>
      </w:pPr>
      <w:r>
        <w:rPr>
          <w:rFonts w:ascii="Arial" w:hAnsi="Arial" w:cs="Arial"/>
          <w:bCs/>
          <w:sz w:val="22"/>
        </w:rPr>
        <w:t>Manufacturer contact information in case of questions</w:t>
      </w:r>
    </w:p>
    <w:p w14:paraId="60084413" w14:textId="66939ECE" w:rsidR="00B56CB2" w:rsidRDefault="00B56CB2" w:rsidP="00B56CB2">
      <w:pPr>
        <w:rPr>
          <w:rFonts w:ascii="Arial" w:hAnsi="Arial" w:cs="Arial"/>
          <w:b/>
          <w:sz w:val="22"/>
        </w:rPr>
      </w:pPr>
    </w:p>
    <w:p w14:paraId="12854971" w14:textId="77777777" w:rsidR="004139C7" w:rsidRDefault="004139C7">
      <w:pPr>
        <w:spacing w:after="200" w:line="276" w:lineRule="auto"/>
        <w:rPr>
          <w:rStyle w:val="Strong"/>
        </w:rPr>
      </w:pPr>
      <w:r>
        <w:rPr>
          <w:rStyle w:val="Strong"/>
        </w:rPr>
        <w:br w:type="page"/>
      </w:r>
    </w:p>
    <w:p w14:paraId="5A2FB66A" w14:textId="003F2BF0" w:rsidR="00863E8F" w:rsidRPr="00162516" w:rsidRDefault="00863E8F" w:rsidP="00863E8F">
      <w:pPr>
        <w:rPr>
          <w:rStyle w:val="Strong"/>
          <w:color w:val="auto"/>
        </w:rPr>
      </w:pPr>
      <w:r w:rsidRPr="00162516">
        <w:rPr>
          <w:rStyle w:val="Strong"/>
          <w:color w:val="auto"/>
        </w:rPr>
        <w:lastRenderedPageBreak/>
        <w:t>Instructions:</w:t>
      </w:r>
    </w:p>
    <w:p w14:paraId="5DE02D0D" w14:textId="77777777" w:rsidR="00863E8F" w:rsidRPr="00863E8F" w:rsidRDefault="00863E8F" w:rsidP="00863E8F">
      <w:pPr>
        <w:rPr>
          <w:rStyle w:val="IntenseEmphasis"/>
        </w:rPr>
      </w:pPr>
    </w:p>
    <w:p w14:paraId="5806D2A1" w14:textId="22E06CCC" w:rsidR="004012C6" w:rsidRPr="004012C6" w:rsidRDefault="00863E8F" w:rsidP="004012C6">
      <w:pPr>
        <w:pStyle w:val="ListParagraph"/>
        <w:numPr>
          <w:ilvl w:val="0"/>
          <w:numId w:val="25"/>
        </w:numPr>
        <w:rPr>
          <w:rFonts w:asciiTheme="minorHAnsi" w:hAnsiTheme="minorHAnsi" w:cstheme="minorHAnsi"/>
          <w:sz w:val="22"/>
          <w:szCs w:val="20"/>
        </w:rPr>
      </w:pPr>
      <w:r w:rsidRPr="004012C6">
        <w:rPr>
          <w:rFonts w:asciiTheme="minorHAnsi" w:hAnsiTheme="minorHAnsi" w:cstheme="minorHAnsi"/>
          <w:sz w:val="22"/>
        </w:rPr>
        <w:t xml:space="preserve">Use the </w:t>
      </w:r>
      <w:r w:rsidRPr="00B87BB2">
        <w:rPr>
          <w:rFonts w:asciiTheme="minorHAnsi" w:hAnsiTheme="minorHAnsi" w:cstheme="minorHAnsi"/>
          <w:bCs/>
          <w:sz w:val="22"/>
        </w:rPr>
        <w:t>NDC Change Notification Template</w:t>
      </w:r>
      <w:r w:rsidRPr="004012C6">
        <w:rPr>
          <w:rFonts w:asciiTheme="minorHAnsi" w:hAnsiTheme="minorHAnsi" w:cstheme="minorHAnsi"/>
          <w:sz w:val="22"/>
        </w:rPr>
        <w:t xml:space="preserve"> on the following pages to draft communication to allow for </w:t>
      </w:r>
      <w:r w:rsidR="00466ABC">
        <w:rPr>
          <w:rFonts w:asciiTheme="minorHAnsi" w:hAnsiTheme="minorHAnsi" w:cstheme="minorHAnsi"/>
          <w:sz w:val="22"/>
        </w:rPr>
        <w:t xml:space="preserve">the </w:t>
      </w:r>
      <w:r w:rsidRPr="004012C6">
        <w:rPr>
          <w:rFonts w:asciiTheme="minorHAnsi" w:hAnsiTheme="minorHAnsi" w:cstheme="minorHAnsi"/>
          <w:sz w:val="22"/>
        </w:rPr>
        <w:t>transfer of accumulations for the existing NDC(s) to the new NDC(s).</w:t>
      </w:r>
      <w:r w:rsidR="004012C6" w:rsidRPr="004012C6">
        <w:rPr>
          <w:rFonts w:asciiTheme="minorHAnsi" w:hAnsiTheme="minorHAnsi" w:cstheme="minorHAnsi"/>
          <w:sz w:val="22"/>
        </w:rPr>
        <w:t xml:space="preserve"> </w:t>
      </w:r>
    </w:p>
    <w:p w14:paraId="7A0C9505" w14:textId="0C5FF356" w:rsidR="00863E8F" w:rsidRPr="004012C6" w:rsidRDefault="004012C6" w:rsidP="004012C6">
      <w:pPr>
        <w:pStyle w:val="ListParagraph"/>
        <w:numPr>
          <w:ilvl w:val="1"/>
          <w:numId w:val="25"/>
        </w:numPr>
        <w:rPr>
          <w:rFonts w:asciiTheme="minorHAnsi" w:hAnsiTheme="minorHAnsi" w:cstheme="minorHAnsi"/>
          <w:sz w:val="22"/>
          <w:szCs w:val="20"/>
        </w:rPr>
      </w:pPr>
      <w:r w:rsidRPr="004012C6">
        <w:rPr>
          <w:rStyle w:val="IntenseEmphasis"/>
        </w:rPr>
        <w:t>Orange font</w:t>
      </w:r>
      <w:r>
        <w:rPr>
          <w:rStyle w:val="IntenseEmphasis"/>
          <w:rFonts w:asciiTheme="minorHAnsi" w:hAnsiTheme="minorHAnsi" w:cstheme="minorHAnsi"/>
          <w:sz w:val="22"/>
        </w:rPr>
        <w:t xml:space="preserve"> </w:t>
      </w:r>
      <w:r w:rsidRPr="004012C6">
        <w:rPr>
          <w:rFonts w:asciiTheme="minorHAnsi" w:hAnsiTheme="minorHAnsi" w:cstheme="minorHAnsi"/>
          <w:sz w:val="22"/>
          <w:szCs w:val="20"/>
        </w:rPr>
        <w:t>indicates prompts for modification.</w:t>
      </w:r>
    </w:p>
    <w:p w14:paraId="3B999B26" w14:textId="77777777" w:rsidR="004139C7" w:rsidRPr="00863E8F" w:rsidRDefault="004139C7" w:rsidP="004139C7">
      <w:pPr>
        <w:pStyle w:val="ListParagraph"/>
        <w:rPr>
          <w:rFonts w:ascii="Arial" w:hAnsi="Arial" w:cs="Arial"/>
          <w:b/>
          <w:sz w:val="22"/>
        </w:rPr>
      </w:pPr>
    </w:p>
    <w:p w14:paraId="58C45DD7" w14:textId="0910A401" w:rsidR="00863E8F" w:rsidRPr="00CE04D2" w:rsidRDefault="00863E8F" w:rsidP="006C2669">
      <w:pPr>
        <w:pStyle w:val="ListParagraph"/>
        <w:numPr>
          <w:ilvl w:val="0"/>
          <w:numId w:val="25"/>
        </w:numPr>
        <w:rPr>
          <w:rFonts w:ascii="Arial" w:hAnsi="Arial" w:cs="Arial"/>
          <w:b/>
          <w:sz w:val="22"/>
        </w:rPr>
      </w:pPr>
      <w:r>
        <w:rPr>
          <w:rFonts w:ascii="Arial" w:hAnsi="Arial" w:cs="Arial"/>
          <w:sz w:val="22"/>
        </w:rPr>
        <w:t>Send the finalized document to the following stakeholders:</w:t>
      </w:r>
    </w:p>
    <w:p w14:paraId="5E707B53" w14:textId="77777777" w:rsidR="00CE04D2" w:rsidRPr="00CE04D2" w:rsidRDefault="00CE04D2" w:rsidP="00CE04D2">
      <w:pPr>
        <w:rPr>
          <w:rFonts w:ascii="Arial" w:hAnsi="Arial" w:cs="Arial"/>
          <w:b/>
          <w:sz w:val="22"/>
        </w:rPr>
      </w:pPr>
    </w:p>
    <w:tbl>
      <w:tblPr>
        <w:tblStyle w:val="GridTable1Light"/>
        <w:tblW w:w="0" w:type="auto"/>
        <w:tblInd w:w="35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5040"/>
        <w:gridCol w:w="5310"/>
      </w:tblGrid>
      <w:tr w:rsidR="00863E8F" w14:paraId="461C11FB" w14:textId="77777777" w:rsidTr="00E22989">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40" w:type="dxa"/>
            <w:tcBorders>
              <w:bottom w:val="none" w:sz="0" w:space="0" w:color="auto"/>
            </w:tcBorders>
            <w:shd w:val="clear" w:color="auto" w:fill="001D60" w:themeFill="accent5"/>
            <w:vAlign w:val="center"/>
          </w:tcPr>
          <w:p w14:paraId="09A3E00C" w14:textId="42F77C15" w:rsidR="00863E8F" w:rsidRPr="00CE04D2" w:rsidRDefault="00863E8F" w:rsidP="00E22989">
            <w:pPr>
              <w:pStyle w:val="ListParagraph"/>
              <w:ind w:left="0"/>
              <w:jc w:val="center"/>
              <w:rPr>
                <w:rFonts w:ascii="Arial" w:hAnsi="Arial" w:cs="Arial"/>
                <w:bCs w:val="0"/>
                <w:sz w:val="22"/>
              </w:rPr>
            </w:pPr>
            <w:r w:rsidRPr="00CE04D2">
              <w:rPr>
                <w:rFonts w:ascii="Arial" w:hAnsi="Arial" w:cs="Arial"/>
                <w:bCs w:val="0"/>
                <w:sz w:val="22"/>
              </w:rPr>
              <w:t>Stakeholder Group</w:t>
            </w:r>
          </w:p>
        </w:tc>
        <w:tc>
          <w:tcPr>
            <w:tcW w:w="5310" w:type="dxa"/>
            <w:tcBorders>
              <w:bottom w:val="none" w:sz="0" w:space="0" w:color="auto"/>
            </w:tcBorders>
            <w:shd w:val="clear" w:color="auto" w:fill="001D60" w:themeFill="accent5"/>
            <w:vAlign w:val="center"/>
          </w:tcPr>
          <w:p w14:paraId="6ED6EBAC" w14:textId="02D11462" w:rsidR="00863E8F" w:rsidRPr="00CE04D2" w:rsidRDefault="009D3E1C" w:rsidP="00E22989">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2"/>
              </w:rPr>
            </w:pPr>
            <w:r>
              <w:rPr>
                <w:rFonts w:ascii="Arial" w:hAnsi="Arial" w:cs="Arial"/>
                <w:bCs w:val="0"/>
                <w:sz w:val="22"/>
              </w:rPr>
              <w:t>Notes</w:t>
            </w:r>
          </w:p>
        </w:tc>
      </w:tr>
      <w:tr w:rsidR="00863E8F" w14:paraId="1ED512B6" w14:textId="77777777" w:rsidTr="00D8302B">
        <w:tc>
          <w:tcPr>
            <w:cnfStyle w:val="001000000000" w:firstRow="0" w:lastRow="0" w:firstColumn="1" w:lastColumn="0" w:oddVBand="0" w:evenVBand="0" w:oddHBand="0" w:evenHBand="0" w:firstRowFirstColumn="0" w:firstRowLastColumn="0" w:lastRowFirstColumn="0" w:lastRowLastColumn="0"/>
            <w:tcW w:w="5040" w:type="dxa"/>
            <w:vAlign w:val="center"/>
          </w:tcPr>
          <w:p w14:paraId="3DEAA49F" w14:textId="0ADFEE32" w:rsidR="00863E8F" w:rsidRDefault="00863E8F" w:rsidP="00CE04D2">
            <w:pPr>
              <w:pStyle w:val="ListParagraph"/>
              <w:ind w:left="0"/>
              <w:rPr>
                <w:rFonts w:ascii="Arial" w:hAnsi="Arial" w:cs="Arial"/>
                <w:b w:val="0"/>
                <w:sz w:val="22"/>
              </w:rPr>
            </w:pPr>
            <w:r>
              <w:rPr>
                <w:rFonts w:ascii="Arial" w:hAnsi="Arial" w:cs="Arial"/>
                <w:b w:val="0"/>
                <w:sz w:val="22"/>
              </w:rPr>
              <w:t xml:space="preserve">Covered </w:t>
            </w:r>
            <w:r w:rsidR="00195C0C">
              <w:rPr>
                <w:rFonts w:ascii="Arial" w:hAnsi="Arial" w:cs="Arial"/>
                <w:b w:val="0"/>
                <w:sz w:val="22"/>
              </w:rPr>
              <w:t>entities</w:t>
            </w:r>
          </w:p>
        </w:tc>
        <w:tc>
          <w:tcPr>
            <w:tcW w:w="5310" w:type="dxa"/>
          </w:tcPr>
          <w:p w14:paraId="649F1767" w14:textId="4BE2AF29" w:rsidR="00E35A4B" w:rsidRDefault="00E35A4B" w:rsidP="00E35A4B">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 xml:space="preserve">Contact information for </w:t>
            </w:r>
            <w:r w:rsidR="00195C0C">
              <w:rPr>
                <w:rFonts w:ascii="Arial" w:hAnsi="Arial" w:cs="Arial"/>
                <w:sz w:val="22"/>
              </w:rPr>
              <w:t xml:space="preserve">covered entities </w:t>
            </w:r>
            <w:r>
              <w:rPr>
                <w:rFonts w:ascii="Arial" w:hAnsi="Arial" w:cs="Arial"/>
                <w:sz w:val="22"/>
              </w:rPr>
              <w:t xml:space="preserve">can be found </w:t>
            </w:r>
            <w:r w:rsidR="00195C0C">
              <w:rPr>
                <w:rFonts w:ascii="Arial" w:hAnsi="Arial" w:cs="Arial"/>
                <w:sz w:val="22"/>
              </w:rPr>
              <w:t xml:space="preserve">at </w:t>
            </w:r>
            <w:r>
              <w:rPr>
                <w:rFonts w:ascii="Arial" w:hAnsi="Arial" w:cs="Arial"/>
                <w:sz w:val="22"/>
              </w:rPr>
              <w:t>340bopais.hrsa.gov</w:t>
            </w:r>
            <w:r w:rsidR="00195C0C">
              <w:rPr>
                <w:rFonts w:ascii="Arial" w:hAnsi="Arial" w:cs="Arial"/>
                <w:sz w:val="22"/>
              </w:rPr>
              <w:t>.</w:t>
            </w:r>
            <w:r>
              <w:rPr>
                <w:rFonts w:ascii="Arial" w:hAnsi="Arial" w:cs="Arial"/>
                <w:sz w:val="22"/>
              </w:rPr>
              <w:t xml:space="preserve"> </w:t>
            </w:r>
          </w:p>
          <w:p w14:paraId="434C63D7" w14:textId="77777777" w:rsidR="00E35A4B" w:rsidRPr="00C9383F" w:rsidRDefault="00E35A4B" w:rsidP="00E35A4B">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14:paraId="32417944" w14:textId="52668718" w:rsidR="00863E8F" w:rsidRDefault="00863E8F" w:rsidP="00863E8F">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863E8F">
              <w:rPr>
                <w:rFonts w:ascii="Arial" w:hAnsi="Arial" w:cs="Arial"/>
                <w:sz w:val="22"/>
              </w:rPr>
              <w:t>Notif</w:t>
            </w:r>
            <w:r w:rsidR="004139C7">
              <w:rPr>
                <w:rFonts w:ascii="Arial" w:hAnsi="Arial" w:cs="Arial"/>
                <w:sz w:val="22"/>
              </w:rPr>
              <w:t>y</w:t>
            </w:r>
            <w:r w:rsidRPr="00863E8F">
              <w:rPr>
                <w:rFonts w:ascii="Arial" w:hAnsi="Arial" w:cs="Arial"/>
                <w:sz w:val="22"/>
              </w:rPr>
              <w:t xml:space="preserve"> </w:t>
            </w:r>
            <w:r w:rsidR="00195C0C">
              <w:rPr>
                <w:rFonts w:ascii="Arial" w:hAnsi="Arial" w:cs="Arial"/>
                <w:sz w:val="22"/>
              </w:rPr>
              <w:t>covered entities of</w:t>
            </w:r>
            <w:r w:rsidR="00195C0C" w:rsidRPr="00863E8F">
              <w:rPr>
                <w:rFonts w:ascii="Arial" w:hAnsi="Arial" w:cs="Arial"/>
                <w:sz w:val="22"/>
              </w:rPr>
              <w:t xml:space="preserve"> </w:t>
            </w:r>
            <w:r w:rsidRPr="00863E8F">
              <w:rPr>
                <w:rFonts w:ascii="Arial" w:hAnsi="Arial" w:cs="Arial"/>
                <w:sz w:val="22"/>
              </w:rPr>
              <w:t>NDC change and allowance of transfer of accumulations</w:t>
            </w:r>
            <w:r>
              <w:rPr>
                <w:rFonts w:ascii="Arial" w:hAnsi="Arial" w:cs="Arial"/>
                <w:sz w:val="22"/>
              </w:rPr>
              <w:t>.</w:t>
            </w:r>
          </w:p>
          <w:p w14:paraId="6C914506" w14:textId="77777777" w:rsidR="009D3E1C" w:rsidRPr="00C9383F" w:rsidRDefault="009D3E1C" w:rsidP="009D3E1C">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14:paraId="5855B3EE" w14:textId="42597D55" w:rsidR="00552AF6" w:rsidRPr="00AC2BDA" w:rsidRDefault="00863E8F" w:rsidP="00AC2BDA">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863E8F">
              <w:rPr>
                <w:rFonts w:ascii="Arial" w:hAnsi="Arial" w:cs="Arial"/>
                <w:sz w:val="22"/>
              </w:rPr>
              <w:t xml:space="preserve">The document will serve as written record to promote 340B </w:t>
            </w:r>
            <w:r w:rsidR="00195C0C">
              <w:rPr>
                <w:rFonts w:ascii="Arial" w:hAnsi="Arial" w:cs="Arial"/>
                <w:sz w:val="22"/>
              </w:rPr>
              <w:t>P</w:t>
            </w:r>
            <w:r w:rsidR="00195C0C" w:rsidRPr="00863E8F">
              <w:rPr>
                <w:rFonts w:ascii="Arial" w:hAnsi="Arial" w:cs="Arial"/>
                <w:sz w:val="22"/>
              </w:rPr>
              <w:t xml:space="preserve">rogram </w:t>
            </w:r>
            <w:r w:rsidRPr="00863E8F">
              <w:rPr>
                <w:rFonts w:ascii="Arial" w:hAnsi="Arial" w:cs="Arial"/>
                <w:sz w:val="22"/>
              </w:rPr>
              <w:t>integrity and compliance</w:t>
            </w:r>
            <w:r w:rsidR="004139C7">
              <w:rPr>
                <w:rFonts w:ascii="Arial" w:hAnsi="Arial" w:cs="Arial"/>
                <w:sz w:val="22"/>
              </w:rPr>
              <w:t xml:space="preserve"> for the covered entity.</w:t>
            </w:r>
          </w:p>
          <w:p w14:paraId="6DBA4AD1" w14:textId="7E2A0901" w:rsidR="00552AF6" w:rsidRPr="00863E8F" w:rsidRDefault="00552AF6" w:rsidP="00552AF6">
            <w:pPr>
              <w:pStyle w:val="ListParagraph"/>
              <w:numPr>
                <w:ilvl w:val="1"/>
                <w:numId w:val="40"/>
              </w:num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 xml:space="preserve">It is the covered entity’s responsibility to </w:t>
            </w:r>
            <w:r w:rsidR="009C1D4E">
              <w:rPr>
                <w:rFonts w:ascii="Arial" w:hAnsi="Arial" w:cs="Arial"/>
                <w:sz w:val="22"/>
              </w:rPr>
              <w:t xml:space="preserve">notify </w:t>
            </w:r>
            <w:r w:rsidR="00195C0C">
              <w:rPr>
                <w:rFonts w:ascii="Arial" w:hAnsi="Arial" w:cs="Arial"/>
                <w:sz w:val="22"/>
              </w:rPr>
              <w:t xml:space="preserve">its </w:t>
            </w:r>
            <w:r w:rsidR="00384D6A">
              <w:rPr>
                <w:rFonts w:ascii="Arial" w:hAnsi="Arial" w:cs="Arial"/>
                <w:sz w:val="22"/>
              </w:rPr>
              <w:t>third-party</w:t>
            </w:r>
            <w:r w:rsidR="009C1D4E">
              <w:rPr>
                <w:rFonts w:ascii="Arial" w:hAnsi="Arial" w:cs="Arial"/>
                <w:sz w:val="22"/>
              </w:rPr>
              <w:t xml:space="preserve"> administrator</w:t>
            </w:r>
            <w:r w:rsidR="00D96581">
              <w:rPr>
                <w:rFonts w:ascii="Arial" w:hAnsi="Arial" w:cs="Arial"/>
                <w:sz w:val="22"/>
              </w:rPr>
              <w:t>, if applicable</w:t>
            </w:r>
            <w:r w:rsidR="009C1D4E">
              <w:rPr>
                <w:rFonts w:ascii="Arial" w:hAnsi="Arial" w:cs="Arial"/>
                <w:sz w:val="22"/>
              </w:rPr>
              <w:t xml:space="preserve">. </w:t>
            </w:r>
          </w:p>
        </w:tc>
      </w:tr>
      <w:tr w:rsidR="00863E8F" w14:paraId="3396B7B4" w14:textId="77777777" w:rsidTr="00D8302B">
        <w:tc>
          <w:tcPr>
            <w:cnfStyle w:val="001000000000" w:firstRow="0" w:lastRow="0" w:firstColumn="1" w:lastColumn="0" w:oddVBand="0" w:evenVBand="0" w:oddHBand="0" w:evenHBand="0" w:firstRowFirstColumn="0" w:firstRowLastColumn="0" w:lastRowFirstColumn="0" w:lastRowLastColumn="0"/>
            <w:tcW w:w="5040" w:type="dxa"/>
            <w:vAlign w:val="center"/>
          </w:tcPr>
          <w:p w14:paraId="6F3BA169" w14:textId="75A1F5CB" w:rsidR="00863E8F" w:rsidRDefault="00562D56" w:rsidP="00CE04D2">
            <w:pPr>
              <w:pStyle w:val="ListParagraph"/>
              <w:ind w:left="0"/>
              <w:rPr>
                <w:rFonts w:ascii="Arial" w:hAnsi="Arial" w:cs="Arial"/>
                <w:b w:val="0"/>
                <w:sz w:val="22"/>
              </w:rPr>
            </w:pPr>
            <w:r>
              <w:rPr>
                <w:rFonts w:ascii="Arial" w:hAnsi="Arial" w:cs="Arial"/>
                <w:b w:val="0"/>
                <w:sz w:val="22"/>
              </w:rPr>
              <w:br/>
            </w:r>
            <w:r w:rsidR="00863E8F">
              <w:rPr>
                <w:rFonts w:ascii="Arial" w:hAnsi="Arial" w:cs="Arial"/>
                <w:b w:val="0"/>
                <w:sz w:val="22"/>
              </w:rPr>
              <w:t>HRSA/Office of Pharmacy Affairs (OPA)</w:t>
            </w:r>
          </w:p>
        </w:tc>
        <w:tc>
          <w:tcPr>
            <w:tcW w:w="5310" w:type="dxa"/>
          </w:tcPr>
          <w:p w14:paraId="15722EB2" w14:textId="5F13DB46" w:rsidR="00863E8F" w:rsidRDefault="00863E8F" w:rsidP="004139C7">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Arial" w:hAnsi="Arial" w:cs="Arial"/>
                <w:bCs/>
                <w:sz w:val="22"/>
              </w:rPr>
            </w:pPr>
            <w:r>
              <w:rPr>
                <w:rFonts w:ascii="Arial" w:hAnsi="Arial" w:cs="Arial"/>
                <w:bCs/>
                <w:sz w:val="22"/>
              </w:rPr>
              <w:t xml:space="preserve">Request to post to </w:t>
            </w:r>
            <w:hyperlink r:id="rId11" w:history="1">
              <w:r w:rsidRPr="00BE311C">
                <w:rPr>
                  <w:rStyle w:val="Hyperlink"/>
                  <w:rFonts w:asciiTheme="majorHAnsi" w:hAnsiTheme="majorHAnsi" w:cstheme="majorHAnsi"/>
                  <w:sz w:val="22"/>
                </w:rPr>
                <w:t>Manufacturer Noti</w:t>
              </w:r>
              <w:r w:rsidRPr="00BE311C">
                <w:rPr>
                  <w:rStyle w:val="Hyperlink"/>
                  <w:rFonts w:asciiTheme="majorHAnsi" w:hAnsiTheme="majorHAnsi" w:cstheme="majorHAnsi"/>
                  <w:sz w:val="22"/>
                </w:rPr>
                <w:t>c</w:t>
              </w:r>
              <w:r w:rsidRPr="00BE311C">
                <w:rPr>
                  <w:rStyle w:val="Hyperlink"/>
                  <w:rFonts w:asciiTheme="majorHAnsi" w:hAnsiTheme="majorHAnsi" w:cstheme="majorHAnsi"/>
                  <w:sz w:val="22"/>
                </w:rPr>
                <w:t>es to Covered Entities</w:t>
              </w:r>
            </w:hyperlink>
            <w:r w:rsidR="004139C7" w:rsidRPr="00BE311C">
              <w:rPr>
                <w:rFonts w:asciiTheme="majorHAnsi" w:hAnsiTheme="majorHAnsi" w:cstheme="majorHAnsi"/>
                <w:sz w:val="22"/>
              </w:rPr>
              <w:t xml:space="preserve"> </w:t>
            </w:r>
            <w:r w:rsidR="004139C7">
              <w:rPr>
                <w:rFonts w:ascii="Arial" w:hAnsi="Arial" w:cs="Arial"/>
                <w:bCs/>
                <w:sz w:val="22"/>
              </w:rPr>
              <w:t>webpage</w:t>
            </w:r>
            <w:r w:rsidR="00CE04D2">
              <w:rPr>
                <w:rFonts w:ascii="Arial" w:hAnsi="Arial" w:cs="Arial"/>
                <w:bCs/>
                <w:sz w:val="22"/>
              </w:rPr>
              <w:t>.</w:t>
            </w:r>
          </w:p>
          <w:p w14:paraId="17D0049E" w14:textId="77777777" w:rsidR="009D3E1C" w:rsidRPr="00C9383F" w:rsidRDefault="009D3E1C" w:rsidP="009D3E1C">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p w14:paraId="28E008FE" w14:textId="5D093361" w:rsidR="00CE04D2" w:rsidRPr="00CE04D2" w:rsidRDefault="00CE04D2" w:rsidP="00CE04D2">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Arial" w:hAnsi="Arial" w:cs="Arial"/>
                <w:bCs/>
                <w:sz w:val="22"/>
              </w:rPr>
            </w:pPr>
            <w:r w:rsidRPr="00CE04D2">
              <w:rPr>
                <w:rFonts w:ascii="Arial" w:hAnsi="Arial" w:cs="Arial"/>
                <w:bCs/>
                <w:sz w:val="22"/>
              </w:rPr>
              <w:t>Office of Pharmacy Affairs</w:t>
            </w:r>
          </w:p>
          <w:p w14:paraId="35C5D230" w14:textId="77777777" w:rsidR="00CE04D2" w:rsidRPr="00CE04D2" w:rsidRDefault="00CE04D2" w:rsidP="00CE04D2">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sz w:val="22"/>
              </w:rPr>
            </w:pPr>
            <w:r w:rsidRPr="00CE04D2">
              <w:rPr>
                <w:rFonts w:ascii="Arial" w:hAnsi="Arial" w:cs="Arial"/>
                <w:bCs/>
                <w:sz w:val="22"/>
              </w:rPr>
              <w:t>Health Resources and Services Administration</w:t>
            </w:r>
          </w:p>
          <w:p w14:paraId="5DAC3C6B" w14:textId="44D81DF7" w:rsidR="00CE04D2" w:rsidRPr="004139C7" w:rsidRDefault="0080086B" w:rsidP="00CE04D2">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sz w:val="22"/>
              </w:rPr>
            </w:pPr>
            <w:hyperlink r:id="rId12" w:history="1">
              <w:r w:rsidRPr="000F0A90">
                <w:rPr>
                  <w:rStyle w:val="Hyperlink"/>
                  <w:rFonts w:ascii="Arial" w:hAnsi="Arial" w:cs="Arial"/>
                  <w:bCs/>
                  <w:sz w:val="22"/>
                </w:rPr>
                <w:t>340BPricing</w:t>
              </w:r>
              <w:r w:rsidRPr="000F0A90">
                <w:rPr>
                  <w:rStyle w:val="Hyperlink"/>
                  <w:rFonts w:ascii="Arial" w:hAnsi="Arial" w:cs="Arial"/>
                  <w:bCs/>
                  <w:sz w:val="22"/>
                </w:rPr>
                <w:t>@</w:t>
              </w:r>
              <w:r w:rsidRPr="000F0A90">
                <w:rPr>
                  <w:rStyle w:val="Hyperlink"/>
                  <w:rFonts w:ascii="Arial" w:hAnsi="Arial" w:cs="Arial"/>
                  <w:bCs/>
                  <w:sz w:val="22"/>
                </w:rPr>
                <w:t>hrsa.gov</w:t>
              </w:r>
            </w:hyperlink>
            <w:r>
              <w:rPr>
                <w:rFonts w:ascii="Arial" w:hAnsi="Arial" w:cs="Arial"/>
                <w:bCs/>
                <w:sz w:val="22"/>
              </w:rPr>
              <w:t xml:space="preserve"> </w:t>
            </w:r>
          </w:p>
        </w:tc>
      </w:tr>
      <w:tr w:rsidR="00863E8F" w14:paraId="24646D7D" w14:textId="77777777" w:rsidTr="00D8302B">
        <w:tc>
          <w:tcPr>
            <w:cnfStyle w:val="001000000000" w:firstRow="0" w:lastRow="0" w:firstColumn="1" w:lastColumn="0" w:oddVBand="0" w:evenVBand="0" w:oddHBand="0" w:evenHBand="0" w:firstRowFirstColumn="0" w:firstRowLastColumn="0" w:lastRowFirstColumn="0" w:lastRowLastColumn="0"/>
            <w:tcW w:w="5040" w:type="dxa"/>
            <w:vAlign w:val="center"/>
          </w:tcPr>
          <w:p w14:paraId="38123E45" w14:textId="2E523CB7" w:rsidR="00863E8F" w:rsidRDefault="00863E8F" w:rsidP="00CE04D2">
            <w:pPr>
              <w:pStyle w:val="ListParagraph"/>
              <w:ind w:left="0"/>
              <w:rPr>
                <w:rFonts w:ascii="Arial" w:hAnsi="Arial" w:cs="Arial"/>
                <w:b w:val="0"/>
                <w:sz w:val="22"/>
              </w:rPr>
            </w:pPr>
            <w:r>
              <w:rPr>
                <w:rFonts w:ascii="Arial" w:hAnsi="Arial" w:cs="Arial"/>
                <w:b w:val="0"/>
                <w:sz w:val="22"/>
              </w:rPr>
              <w:t>Prime Vendor Program (PVP), managed by Apexus</w:t>
            </w:r>
          </w:p>
        </w:tc>
        <w:tc>
          <w:tcPr>
            <w:tcW w:w="5310" w:type="dxa"/>
          </w:tcPr>
          <w:p w14:paraId="26BD619B" w14:textId="2B2D55DE" w:rsidR="004139C7" w:rsidRPr="006C2669" w:rsidRDefault="009D3E1C" w:rsidP="00A95661">
            <w:pPr>
              <w:pStyle w:val="ListParagraph"/>
              <w:numPr>
                <w:ilvl w:val="0"/>
                <w:numId w:val="41"/>
              </w:numPr>
              <w:spacing w:before="120"/>
              <w:cnfStyle w:val="000000000000" w:firstRow="0" w:lastRow="0" w:firstColumn="0" w:lastColumn="0" w:oddVBand="0" w:evenVBand="0" w:oddHBand="0" w:evenHBand="0" w:firstRowFirstColumn="0" w:firstRowLastColumn="0" w:lastRowFirstColumn="0" w:lastRowLastColumn="0"/>
              <w:rPr>
                <w:rFonts w:ascii="Arial" w:hAnsi="Arial" w:cs="Arial"/>
                <w:b/>
                <w:sz w:val="22"/>
              </w:rPr>
            </w:pPr>
            <w:r>
              <w:rPr>
                <w:rFonts w:ascii="Arial" w:hAnsi="Arial" w:cs="Arial"/>
                <w:sz w:val="22"/>
              </w:rPr>
              <w:t>For manufacturers with contracts with the PVP, s</w:t>
            </w:r>
            <w:r w:rsidR="004139C7">
              <w:rPr>
                <w:rFonts w:ascii="Arial" w:hAnsi="Arial" w:cs="Arial"/>
                <w:sz w:val="22"/>
              </w:rPr>
              <w:t xml:space="preserve">end </w:t>
            </w:r>
            <w:r>
              <w:rPr>
                <w:rFonts w:ascii="Arial" w:hAnsi="Arial" w:cs="Arial"/>
                <w:sz w:val="22"/>
              </w:rPr>
              <w:t>the notification</w:t>
            </w:r>
            <w:r w:rsidR="004139C7">
              <w:rPr>
                <w:rFonts w:ascii="Arial" w:hAnsi="Arial" w:cs="Arial"/>
                <w:sz w:val="22"/>
              </w:rPr>
              <w:t xml:space="preserve"> to the </w:t>
            </w:r>
            <w:r>
              <w:rPr>
                <w:rFonts w:ascii="Arial" w:hAnsi="Arial" w:cs="Arial"/>
                <w:sz w:val="22"/>
              </w:rPr>
              <w:t>portfolio executive (PE) contact.</w:t>
            </w:r>
            <w:r w:rsidR="00E22989">
              <w:rPr>
                <w:rFonts w:ascii="Arial" w:hAnsi="Arial" w:cs="Arial"/>
                <w:sz w:val="22"/>
              </w:rPr>
              <w:br/>
            </w:r>
          </w:p>
          <w:p w14:paraId="2811EA07" w14:textId="77777777" w:rsidR="00863E8F" w:rsidRPr="00270F57" w:rsidRDefault="009D3E1C" w:rsidP="00CE04D2">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ascii="Arial" w:hAnsi="Arial" w:cs="Arial"/>
                <w:b/>
                <w:sz w:val="22"/>
              </w:rPr>
            </w:pPr>
            <w:r>
              <w:rPr>
                <w:rFonts w:ascii="Arial" w:hAnsi="Arial" w:cs="Arial"/>
                <w:sz w:val="22"/>
              </w:rPr>
              <w:t xml:space="preserve">If there is no PE contact, </w:t>
            </w:r>
            <w:r w:rsidR="004139C7">
              <w:rPr>
                <w:rFonts w:ascii="Arial" w:hAnsi="Arial" w:cs="Arial"/>
                <w:sz w:val="22"/>
              </w:rPr>
              <w:t xml:space="preserve">send </w:t>
            </w:r>
            <w:r>
              <w:rPr>
                <w:rFonts w:ascii="Arial" w:hAnsi="Arial" w:cs="Arial"/>
                <w:sz w:val="22"/>
              </w:rPr>
              <w:t xml:space="preserve">the notification </w:t>
            </w:r>
            <w:r w:rsidR="004139C7">
              <w:rPr>
                <w:rFonts w:ascii="Arial" w:hAnsi="Arial" w:cs="Arial"/>
                <w:sz w:val="22"/>
              </w:rPr>
              <w:t xml:space="preserve">to Apexus </w:t>
            </w:r>
            <w:r>
              <w:rPr>
                <w:rFonts w:ascii="Arial" w:hAnsi="Arial" w:cs="Arial"/>
                <w:sz w:val="22"/>
              </w:rPr>
              <w:t>A</w:t>
            </w:r>
            <w:r w:rsidR="004139C7">
              <w:rPr>
                <w:rFonts w:ascii="Arial" w:hAnsi="Arial" w:cs="Arial"/>
                <w:sz w:val="22"/>
              </w:rPr>
              <w:t>nswers</w:t>
            </w:r>
            <w:r>
              <w:rPr>
                <w:rFonts w:ascii="Arial" w:hAnsi="Arial" w:cs="Arial"/>
                <w:sz w:val="22"/>
              </w:rPr>
              <w:t>.</w:t>
            </w:r>
          </w:p>
          <w:p w14:paraId="524BD62C" w14:textId="77777777" w:rsidR="00270F57" w:rsidRPr="00BE311C" w:rsidRDefault="00B87BB2" w:rsidP="00270F57">
            <w:pPr>
              <w:ind w:left="360"/>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2"/>
                <w:szCs w:val="20"/>
              </w:rPr>
            </w:pPr>
            <w:hyperlink r:id="rId13" w:history="1">
              <w:r w:rsidR="00270F57" w:rsidRPr="00BE311C">
                <w:rPr>
                  <w:rStyle w:val="Hyperlink"/>
                  <w:rFonts w:asciiTheme="majorHAnsi" w:eastAsia="Arial" w:hAnsiTheme="majorHAnsi" w:cstheme="majorHAnsi"/>
                  <w:spacing w:val="-1"/>
                  <w:position w:val="-1"/>
                  <w:sz w:val="22"/>
                  <w:szCs w:val="20"/>
                </w:rPr>
                <w:t>E</w:t>
              </w:r>
              <w:r w:rsidR="00270F57" w:rsidRPr="00BE311C">
                <w:rPr>
                  <w:rStyle w:val="Hyperlink"/>
                  <w:rFonts w:asciiTheme="majorHAnsi" w:eastAsia="Arial" w:hAnsiTheme="majorHAnsi" w:cstheme="majorHAnsi"/>
                  <w:spacing w:val="1"/>
                  <w:position w:val="-1"/>
                  <w:sz w:val="22"/>
                  <w:szCs w:val="20"/>
                </w:rPr>
                <w:t>m</w:t>
              </w:r>
              <w:r w:rsidR="00270F57" w:rsidRPr="00BE311C">
                <w:rPr>
                  <w:rStyle w:val="Hyperlink"/>
                  <w:rFonts w:asciiTheme="majorHAnsi" w:eastAsia="Arial" w:hAnsiTheme="majorHAnsi" w:cstheme="majorHAnsi"/>
                  <w:position w:val="-1"/>
                  <w:sz w:val="22"/>
                  <w:szCs w:val="20"/>
                </w:rPr>
                <w:t>a</w:t>
              </w:r>
              <w:r w:rsidR="00270F57" w:rsidRPr="00BE311C">
                <w:rPr>
                  <w:rStyle w:val="Hyperlink"/>
                  <w:rFonts w:asciiTheme="majorHAnsi" w:eastAsia="Arial" w:hAnsiTheme="majorHAnsi" w:cstheme="majorHAnsi"/>
                  <w:spacing w:val="-1"/>
                  <w:position w:val="-1"/>
                  <w:sz w:val="22"/>
                  <w:szCs w:val="20"/>
                </w:rPr>
                <w:t>i</w:t>
              </w:r>
              <w:r w:rsidR="00270F57" w:rsidRPr="00BE311C">
                <w:rPr>
                  <w:rStyle w:val="Hyperlink"/>
                  <w:rFonts w:asciiTheme="majorHAnsi" w:eastAsia="Arial" w:hAnsiTheme="majorHAnsi" w:cstheme="majorHAnsi"/>
                  <w:spacing w:val="-1"/>
                  <w:position w:val="-1"/>
                  <w:sz w:val="22"/>
                  <w:szCs w:val="20"/>
                </w:rPr>
                <w:t>l &gt;</w:t>
              </w:r>
            </w:hyperlink>
          </w:p>
          <w:p w14:paraId="2EEBBAA7" w14:textId="092EB2B6" w:rsidR="00270F57" w:rsidRPr="00270F57" w:rsidRDefault="00B87BB2" w:rsidP="00270F57">
            <w:pPr>
              <w:ind w:left="360"/>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bCs/>
              </w:rPr>
            </w:pPr>
            <w:hyperlink r:id="rId14" w:history="1">
              <w:r w:rsidR="00270F57" w:rsidRPr="00BE311C">
                <w:rPr>
                  <w:rStyle w:val="Hyperlink"/>
                  <w:rFonts w:asciiTheme="majorHAnsi" w:eastAsia="Arial" w:hAnsiTheme="majorHAnsi" w:cstheme="majorHAnsi"/>
                  <w:spacing w:val="-1"/>
                  <w:sz w:val="22"/>
                  <w:szCs w:val="20"/>
                </w:rPr>
                <w:t>C</w:t>
              </w:r>
              <w:r w:rsidR="00270F57" w:rsidRPr="00BE311C">
                <w:rPr>
                  <w:rStyle w:val="Hyperlink"/>
                  <w:rFonts w:asciiTheme="majorHAnsi" w:eastAsia="Arial" w:hAnsiTheme="majorHAnsi" w:cstheme="majorHAnsi"/>
                  <w:sz w:val="22"/>
                  <w:szCs w:val="20"/>
                </w:rPr>
                <w:t>h</w:t>
              </w:r>
              <w:r w:rsidR="00270F57" w:rsidRPr="00BE311C">
                <w:rPr>
                  <w:rStyle w:val="Hyperlink"/>
                  <w:rFonts w:asciiTheme="majorHAnsi" w:eastAsia="Arial" w:hAnsiTheme="majorHAnsi" w:cstheme="majorHAnsi"/>
                  <w:spacing w:val="-1"/>
                  <w:sz w:val="22"/>
                  <w:szCs w:val="20"/>
                </w:rPr>
                <w:t>a</w:t>
              </w:r>
              <w:r w:rsidR="00270F57" w:rsidRPr="00BE311C">
                <w:rPr>
                  <w:rStyle w:val="Hyperlink"/>
                  <w:rFonts w:asciiTheme="majorHAnsi" w:eastAsia="Arial" w:hAnsiTheme="majorHAnsi" w:cstheme="majorHAnsi"/>
                  <w:spacing w:val="1"/>
                  <w:sz w:val="22"/>
                  <w:szCs w:val="20"/>
                </w:rPr>
                <w:t>t</w:t>
              </w:r>
              <w:r w:rsidR="00270F57" w:rsidRPr="00BE311C">
                <w:rPr>
                  <w:rStyle w:val="Hyperlink"/>
                  <w:rFonts w:asciiTheme="majorHAnsi" w:eastAsia="Arial" w:hAnsiTheme="majorHAnsi" w:cstheme="majorHAnsi"/>
                  <w:sz w:val="22"/>
                  <w:szCs w:val="20"/>
                </w:rPr>
                <w:t xml:space="preserve"> &gt;</w:t>
              </w:r>
            </w:hyperlink>
          </w:p>
        </w:tc>
      </w:tr>
    </w:tbl>
    <w:p w14:paraId="1A4D068F" w14:textId="77777777" w:rsidR="00863E8F" w:rsidRPr="00863E8F" w:rsidRDefault="00863E8F" w:rsidP="00863E8F">
      <w:pPr>
        <w:pStyle w:val="ListParagraph"/>
        <w:rPr>
          <w:rFonts w:ascii="Arial" w:hAnsi="Arial" w:cs="Arial"/>
          <w:b/>
          <w:sz w:val="22"/>
        </w:rPr>
      </w:pPr>
    </w:p>
    <w:p w14:paraId="411AFC47" w14:textId="2BF64174" w:rsidR="002B2B37" w:rsidRPr="00D91D5B" w:rsidRDefault="002B2B37" w:rsidP="002B2B37">
      <w:pPr>
        <w:spacing w:after="200" w:line="276" w:lineRule="auto"/>
        <w:rPr>
          <w:rFonts w:ascii="Arial" w:hAnsi="Arial" w:cs="Arial"/>
          <w:bCs/>
          <w:sz w:val="22"/>
        </w:rPr>
      </w:pPr>
      <w:r w:rsidRPr="00162516">
        <w:rPr>
          <w:rFonts w:ascii="Arial" w:hAnsi="Arial" w:cs="Arial"/>
          <w:b/>
          <w:sz w:val="22"/>
        </w:rPr>
        <w:t>NOTE</w:t>
      </w:r>
      <w:r w:rsidR="00195C0C">
        <w:rPr>
          <w:rFonts w:ascii="Arial" w:hAnsi="Arial" w:cs="Arial"/>
          <w:b/>
          <w:sz w:val="22"/>
        </w:rPr>
        <w:t>:</w:t>
      </w:r>
      <w:r w:rsidRPr="00162516">
        <w:rPr>
          <w:rFonts w:ascii="Arial" w:hAnsi="Arial" w:cs="Arial"/>
          <w:b/>
          <w:sz w:val="22"/>
        </w:rPr>
        <w:t xml:space="preserve"> </w:t>
      </w:r>
      <w:r>
        <w:rPr>
          <w:rFonts w:ascii="Arial" w:hAnsi="Arial" w:cs="Arial"/>
          <w:bCs/>
          <w:sz w:val="22"/>
        </w:rPr>
        <w:t>You may consider including the finalized document as part of your usual communication process for NDC change notification to wholesalers. It is important to note that this document is not meant to replace wholesaler notification for NDC changes</w:t>
      </w:r>
      <w:r w:rsidR="00195C0C">
        <w:rPr>
          <w:rFonts w:ascii="Arial" w:hAnsi="Arial" w:cs="Arial"/>
          <w:bCs/>
          <w:sz w:val="22"/>
        </w:rPr>
        <w:t xml:space="preserve">; </w:t>
      </w:r>
      <w:r>
        <w:rPr>
          <w:rFonts w:ascii="Arial" w:hAnsi="Arial" w:cs="Arial"/>
          <w:bCs/>
          <w:sz w:val="22"/>
        </w:rPr>
        <w:t>rather</w:t>
      </w:r>
      <w:r w:rsidR="00195C0C">
        <w:rPr>
          <w:rFonts w:ascii="Arial" w:hAnsi="Arial" w:cs="Arial"/>
          <w:bCs/>
          <w:sz w:val="22"/>
        </w:rPr>
        <w:t>, it is intended</w:t>
      </w:r>
      <w:r>
        <w:rPr>
          <w:rFonts w:ascii="Arial" w:hAnsi="Arial" w:cs="Arial"/>
          <w:bCs/>
          <w:sz w:val="22"/>
        </w:rPr>
        <w:t xml:space="preserve"> to supplement your current process to create a comprehensive communication plan.</w:t>
      </w:r>
    </w:p>
    <w:p w14:paraId="2158E1B1" w14:textId="4D20926D" w:rsidR="00863E8F" w:rsidRDefault="00863E8F">
      <w:pPr>
        <w:spacing w:after="200" w:line="276" w:lineRule="auto"/>
        <w:rPr>
          <w:rFonts w:ascii="Arial" w:hAnsi="Arial" w:cs="Arial"/>
          <w:b/>
          <w:sz w:val="22"/>
        </w:rPr>
      </w:pPr>
    </w:p>
    <w:p w14:paraId="0FBE9C79" w14:textId="77777777" w:rsidR="002B2B37" w:rsidRDefault="002B2B37">
      <w:pPr>
        <w:spacing w:after="200" w:line="276" w:lineRule="auto"/>
        <w:rPr>
          <w:rFonts w:ascii="Arial" w:hAnsi="Arial" w:cs="Arial"/>
          <w:b/>
          <w:sz w:val="22"/>
        </w:rPr>
      </w:pPr>
    </w:p>
    <w:p w14:paraId="25A4427A" w14:textId="47173955" w:rsidR="004012C6" w:rsidRPr="004012C6" w:rsidRDefault="00863E8F" w:rsidP="004012C6">
      <w:pPr>
        <w:pStyle w:val="Heading1"/>
      </w:pPr>
      <w:bookmarkStart w:id="0" w:name="_NDC_Change_Notification"/>
      <w:bookmarkEnd w:id="0"/>
      <w:r w:rsidRPr="00863E8F">
        <w:lastRenderedPageBreak/>
        <w:t xml:space="preserve">NDC Change Notification </w:t>
      </w:r>
      <w:r>
        <w:t>Template</w:t>
      </w:r>
    </w:p>
    <w:p w14:paraId="5D0C0BB5" w14:textId="77777777" w:rsidR="00863E8F" w:rsidRPr="00863E8F" w:rsidRDefault="00863E8F" w:rsidP="00863E8F"/>
    <w:p w14:paraId="2B3EF361" w14:textId="24A3D23A" w:rsidR="001B565A" w:rsidRPr="00270F57" w:rsidRDefault="002B1008" w:rsidP="00857736">
      <w:pPr>
        <w:spacing w:after="240"/>
        <w:rPr>
          <w:rStyle w:val="IntenseEmphasis"/>
        </w:rPr>
      </w:pPr>
      <w:r w:rsidRPr="00270F57">
        <w:rPr>
          <w:rStyle w:val="IntenseEmphasis"/>
        </w:rPr>
        <w:t>[Place letter on Manufacturer</w:t>
      </w:r>
      <w:r w:rsidR="002C3BAA" w:rsidRPr="00270F57">
        <w:rPr>
          <w:rStyle w:val="IntenseEmphasis"/>
        </w:rPr>
        <w:t xml:space="preserve"> </w:t>
      </w:r>
      <w:r w:rsidR="001B565A" w:rsidRPr="00270F57">
        <w:rPr>
          <w:rStyle w:val="IntenseEmphasis"/>
        </w:rPr>
        <w:t>letterhead]</w:t>
      </w:r>
    </w:p>
    <w:p w14:paraId="290B983F" w14:textId="77777777" w:rsidR="001B565A" w:rsidRPr="00A7642D" w:rsidRDefault="001B565A" w:rsidP="001B565A">
      <w:pPr>
        <w:rPr>
          <w:rFonts w:ascii="Arial" w:hAnsi="Arial" w:cs="Arial"/>
          <w:sz w:val="22"/>
        </w:rPr>
      </w:pPr>
      <w:r w:rsidRPr="00A7642D">
        <w:rPr>
          <w:rFonts w:ascii="Arial" w:hAnsi="Arial" w:cs="Arial"/>
          <w:sz w:val="22"/>
        </w:rPr>
        <w:t>Date</w:t>
      </w:r>
      <w:r w:rsidR="003C174F" w:rsidRPr="00A7642D">
        <w:rPr>
          <w:rFonts w:ascii="Arial" w:hAnsi="Arial" w:cs="Arial"/>
          <w:sz w:val="22"/>
        </w:rPr>
        <w:t xml:space="preserve">: </w:t>
      </w:r>
      <w:r w:rsidR="003C174F" w:rsidRPr="00270F57">
        <w:rPr>
          <w:rStyle w:val="IntenseEmphasis"/>
        </w:rPr>
        <w:t>[Date]</w:t>
      </w:r>
    </w:p>
    <w:p w14:paraId="70036899" w14:textId="4767BF66" w:rsidR="001B565A" w:rsidRPr="00A7642D" w:rsidRDefault="001B565A" w:rsidP="002B1008">
      <w:pPr>
        <w:jc w:val="center"/>
        <w:rPr>
          <w:rFonts w:ascii="Arial" w:hAnsi="Arial" w:cs="Arial"/>
          <w:sz w:val="22"/>
        </w:rPr>
      </w:pPr>
      <w:bookmarkStart w:id="1" w:name="_DV_C7"/>
      <w:r w:rsidRPr="007C3AA8">
        <w:rPr>
          <w:rStyle w:val="DeltaViewDeletion"/>
          <w:rFonts w:ascii="Arial" w:hAnsi="Arial" w:cs="Arial"/>
          <w:sz w:val="22"/>
        </w:rPr>
        <w:br/>
      </w:r>
      <w:bookmarkStart w:id="2" w:name="_DV_M7"/>
      <w:bookmarkEnd w:id="1"/>
      <w:bookmarkEnd w:id="2"/>
      <w:r w:rsidR="002B1008" w:rsidRPr="00270F57">
        <w:rPr>
          <w:rStyle w:val="IntenseEmphasis"/>
        </w:rPr>
        <w:t>[Manufacturer]</w:t>
      </w:r>
      <w:r w:rsidR="002B1008" w:rsidRPr="002B1008">
        <w:rPr>
          <w:rFonts w:ascii="Arial" w:hAnsi="Arial" w:cs="Arial"/>
          <w:b/>
          <w:sz w:val="22"/>
        </w:rPr>
        <w:br/>
        <w:t xml:space="preserve">Notice Regarding </w:t>
      </w:r>
      <w:r w:rsidR="002B1008" w:rsidRPr="00270F57">
        <w:rPr>
          <w:rStyle w:val="IntenseEmphasis"/>
        </w:rPr>
        <w:t>[Drug Name(s)]</w:t>
      </w:r>
      <w:r w:rsidR="002B1008">
        <w:rPr>
          <w:rFonts w:ascii="Arial" w:hAnsi="Arial" w:cs="Arial"/>
          <w:sz w:val="22"/>
        </w:rPr>
        <w:br/>
      </w:r>
      <w:r w:rsidR="002B1008" w:rsidRPr="002B1008">
        <w:rPr>
          <w:rFonts w:ascii="Arial" w:hAnsi="Arial" w:cs="Arial"/>
          <w:b/>
          <w:sz w:val="22"/>
        </w:rPr>
        <w:t>National Drug Code Numbers Update and Impact on 340B Virtual Inventory Management</w:t>
      </w:r>
      <w:bookmarkStart w:id="3" w:name="_DV_C9"/>
      <w:bookmarkEnd w:id="3"/>
    </w:p>
    <w:p w14:paraId="4DD09DBB" w14:textId="77777777" w:rsidR="001B565A" w:rsidRPr="007C3AA8" w:rsidRDefault="001B565A" w:rsidP="001B565A">
      <w:pPr>
        <w:rPr>
          <w:rFonts w:ascii="Arial" w:hAnsi="Arial" w:cs="Arial"/>
          <w:sz w:val="22"/>
        </w:rPr>
      </w:pPr>
      <w:bookmarkStart w:id="4" w:name="_DV_M8"/>
      <w:bookmarkEnd w:id="4"/>
    </w:p>
    <w:p w14:paraId="13976ABA" w14:textId="69B037C6" w:rsidR="004A2B59" w:rsidRDefault="002B1008">
      <w:pPr>
        <w:spacing w:after="200" w:line="276" w:lineRule="auto"/>
        <w:rPr>
          <w:rFonts w:ascii="Arial" w:hAnsi="Arial" w:cs="Arial"/>
          <w:sz w:val="22"/>
        </w:rPr>
      </w:pPr>
      <w:r w:rsidRPr="00270F57">
        <w:rPr>
          <w:rStyle w:val="IntenseEmphasis"/>
        </w:rPr>
        <w:t>[Manufacturer]</w:t>
      </w:r>
      <w:r w:rsidR="004A2B59">
        <w:rPr>
          <w:rFonts w:ascii="Arial" w:hAnsi="Arial" w:cs="Arial"/>
          <w:sz w:val="22"/>
        </w:rPr>
        <w:t xml:space="preserve"> has asked the Office of Pharmacy Affairs (OPA) to post this notice on the OPA’s public website to notify 340B covered entities that the </w:t>
      </w:r>
      <w:r w:rsidR="00195C0C">
        <w:rPr>
          <w:rFonts w:ascii="Arial" w:hAnsi="Arial" w:cs="Arial"/>
          <w:sz w:val="22"/>
        </w:rPr>
        <w:t xml:space="preserve">National Drug Code </w:t>
      </w:r>
      <w:r w:rsidR="004A2B59">
        <w:rPr>
          <w:rFonts w:ascii="Arial" w:hAnsi="Arial" w:cs="Arial"/>
          <w:sz w:val="22"/>
        </w:rPr>
        <w:t xml:space="preserve">(NDC) numbers for </w:t>
      </w:r>
      <w:r w:rsidR="004A2B59" w:rsidRPr="00270F57">
        <w:rPr>
          <w:rStyle w:val="IntenseEmphasis"/>
        </w:rPr>
        <w:t>[Drug Name(s) (generic name)]</w:t>
      </w:r>
      <w:r w:rsidR="004A2B59">
        <w:rPr>
          <w:rFonts w:ascii="Arial" w:hAnsi="Arial" w:cs="Arial"/>
          <w:sz w:val="22"/>
        </w:rPr>
        <w:t xml:space="preserve"> for </w:t>
      </w:r>
      <w:r w:rsidR="004A2B59" w:rsidRPr="00270F57">
        <w:rPr>
          <w:rStyle w:val="IntenseEmphasis"/>
        </w:rPr>
        <w:t>[Drug Route]</w:t>
      </w:r>
      <w:r w:rsidR="004A2B59">
        <w:rPr>
          <w:rFonts w:ascii="Arial" w:hAnsi="Arial" w:cs="Arial"/>
          <w:sz w:val="22"/>
        </w:rPr>
        <w:t xml:space="preserve"> are being transitioned to new NDCs</w:t>
      </w:r>
      <w:r w:rsidR="00D05FBC">
        <w:rPr>
          <w:rFonts w:ascii="Arial" w:hAnsi="Arial" w:cs="Arial"/>
          <w:sz w:val="22"/>
        </w:rPr>
        <w:t xml:space="preserve"> on </w:t>
      </w:r>
      <w:r w:rsidR="00D05FBC" w:rsidRPr="00270F57">
        <w:rPr>
          <w:rStyle w:val="IntenseEmphasis"/>
        </w:rPr>
        <w:t>[effective date]</w:t>
      </w:r>
      <w:r w:rsidR="004A2B59">
        <w:rPr>
          <w:rFonts w:ascii="Arial" w:hAnsi="Arial" w:cs="Arial"/>
          <w:sz w:val="22"/>
        </w:rPr>
        <w:t xml:space="preserve"> as follows:</w:t>
      </w:r>
    </w:p>
    <w:p w14:paraId="7EDFFCAF" w14:textId="280948D9" w:rsidR="004A2B59" w:rsidRDefault="004A2B59">
      <w:pPr>
        <w:spacing w:after="200" w:line="276" w:lineRule="auto"/>
        <w:rPr>
          <w:rFonts w:ascii="Arial" w:hAnsi="Arial" w:cs="Arial"/>
          <w:sz w:val="22"/>
        </w:rPr>
      </w:pPr>
      <w:r>
        <w:rPr>
          <w:rFonts w:ascii="Arial" w:hAnsi="Arial" w:cs="Arial"/>
          <w:sz w:val="22"/>
        </w:rPr>
        <w:t xml:space="preserve">These NDC changes </w:t>
      </w:r>
      <w:r w:rsidRPr="00270F57">
        <w:rPr>
          <w:rStyle w:val="IntenseEmphasis"/>
        </w:rPr>
        <w:t>[will/will not]</w:t>
      </w:r>
      <w:r>
        <w:rPr>
          <w:rFonts w:ascii="Arial" w:hAnsi="Arial" w:cs="Arial"/>
          <w:sz w:val="22"/>
        </w:rPr>
        <w:t xml:space="preserve"> be accompanied by product packaging changes </w:t>
      </w:r>
      <w:r w:rsidRPr="00270F57">
        <w:rPr>
          <w:rStyle w:val="IntenseEmphasis"/>
        </w:rPr>
        <w:t>[</w:t>
      </w:r>
      <w:r w:rsidR="004012C6" w:rsidRPr="00270F57">
        <w:rPr>
          <w:rStyle w:val="IntenseEmphasis"/>
        </w:rPr>
        <w:t>explain if</w:t>
      </w:r>
      <w:r w:rsidRPr="00270F57">
        <w:rPr>
          <w:rStyle w:val="IntenseEmphasis"/>
        </w:rPr>
        <w:t xml:space="preserve"> changes to occur].</w:t>
      </w:r>
    </w:p>
    <w:tbl>
      <w:tblPr>
        <w:tblStyle w:val="TableGrid"/>
        <w:tblW w:w="0" w:type="auto"/>
        <w:tblBorders>
          <w:top w:val="single" w:sz="8" w:space="0" w:color="F7941E" w:themeColor="accent1"/>
          <w:left w:val="single" w:sz="8" w:space="0" w:color="F7941E" w:themeColor="accent1"/>
          <w:bottom w:val="single" w:sz="8" w:space="0" w:color="F7941E" w:themeColor="accent1"/>
          <w:right w:val="single" w:sz="8" w:space="0" w:color="F7941E" w:themeColor="accent1"/>
          <w:insideH w:val="single" w:sz="8" w:space="0" w:color="F7941E" w:themeColor="accent1"/>
          <w:insideV w:val="single" w:sz="8" w:space="0" w:color="F7941E" w:themeColor="accent1"/>
        </w:tblBorders>
        <w:tblLook w:val="04A0" w:firstRow="1" w:lastRow="0" w:firstColumn="1" w:lastColumn="0" w:noHBand="0" w:noVBand="1"/>
      </w:tblPr>
      <w:tblGrid>
        <w:gridCol w:w="2694"/>
        <w:gridCol w:w="2694"/>
        <w:gridCol w:w="2697"/>
        <w:gridCol w:w="2695"/>
      </w:tblGrid>
      <w:tr w:rsidR="004A2B59" w14:paraId="5B9C0CD3" w14:textId="77777777" w:rsidTr="00EA412B">
        <w:tc>
          <w:tcPr>
            <w:tcW w:w="2697" w:type="dxa"/>
            <w:tcBorders>
              <w:top w:val="single" w:sz="8" w:space="0" w:color="4F81BD"/>
              <w:left w:val="single" w:sz="8" w:space="0" w:color="4F81BD"/>
              <w:bottom w:val="single" w:sz="8" w:space="0" w:color="4F81BD"/>
              <w:right w:val="single" w:sz="8" w:space="0" w:color="4F81BD"/>
            </w:tcBorders>
            <w:shd w:val="clear" w:color="auto" w:fill="001D60" w:themeFill="accent5"/>
          </w:tcPr>
          <w:p w14:paraId="391B230F" w14:textId="1CC54622" w:rsidR="004A2B59" w:rsidRPr="000F5A47" w:rsidRDefault="004A2B59" w:rsidP="000F5A47">
            <w:pPr>
              <w:spacing w:before="120" w:after="120" w:line="276" w:lineRule="auto"/>
              <w:jc w:val="center"/>
              <w:rPr>
                <w:rFonts w:ascii="Arial" w:hAnsi="Arial" w:cs="Arial"/>
                <w:b/>
                <w:bCs/>
                <w:sz w:val="22"/>
              </w:rPr>
            </w:pPr>
            <w:r w:rsidRPr="000F5A47">
              <w:rPr>
                <w:rFonts w:ascii="Arial" w:hAnsi="Arial" w:cs="Arial"/>
                <w:b/>
                <w:bCs/>
                <w:sz w:val="22"/>
              </w:rPr>
              <w:t>Product Description</w:t>
            </w:r>
          </w:p>
        </w:tc>
        <w:tc>
          <w:tcPr>
            <w:tcW w:w="2697" w:type="dxa"/>
            <w:tcBorders>
              <w:top w:val="single" w:sz="8" w:space="0" w:color="4F81BD"/>
              <w:left w:val="single" w:sz="8" w:space="0" w:color="4F81BD"/>
              <w:bottom w:val="single" w:sz="8" w:space="0" w:color="4F81BD"/>
              <w:right w:val="single" w:sz="8" w:space="0" w:color="4F81BD"/>
            </w:tcBorders>
            <w:shd w:val="clear" w:color="auto" w:fill="001D60" w:themeFill="accent5"/>
          </w:tcPr>
          <w:p w14:paraId="611CCA4B" w14:textId="3B685A3C" w:rsidR="004A2B59" w:rsidRPr="000F5A47" w:rsidRDefault="004A2B59" w:rsidP="000F5A47">
            <w:pPr>
              <w:spacing w:before="120" w:after="120" w:line="276" w:lineRule="auto"/>
              <w:jc w:val="center"/>
              <w:rPr>
                <w:rFonts w:ascii="Arial" w:hAnsi="Arial" w:cs="Arial"/>
                <w:b/>
                <w:bCs/>
                <w:sz w:val="22"/>
              </w:rPr>
            </w:pPr>
            <w:r w:rsidRPr="000F5A47">
              <w:rPr>
                <w:rFonts w:ascii="Arial" w:hAnsi="Arial" w:cs="Arial"/>
                <w:b/>
                <w:bCs/>
                <w:sz w:val="22"/>
              </w:rPr>
              <w:t>Old/Existing NDC</w:t>
            </w:r>
          </w:p>
        </w:tc>
        <w:tc>
          <w:tcPr>
            <w:tcW w:w="2698" w:type="dxa"/>
            <w:tcBorders>
              <w:top w:val="single" w:sz="8" w:space="0" w:color="4F81BD"/>
              <w:left w:val="single" w:sz="8" w:space="0" w:color="4F81BD"/>
              <w:bottom w:val="single" w:sz="8" w:space="0" w:color="4F81BD"/>
              <w:right w:val="single" w:sz="8" w:space="0" w:color="4F81BD"/>
            </w:tcBorders>
            <w:shd w:val="clear" w:color="auto" w:fill="001D60" w:themeFill="accent5"/>
          </w:tcPr>
          <w:p w14:paraId="288982E7" w14:textId="5F1A8596" w:rsidR="004A2B59" w:rsidRPr="000F5A47" w:rsidRDefault="004A2B59" w:rsidP="000F5A47">
            <w:pPr>
              <w:spacing w:before="120" w:after="120" w:line="276" w:lineRule="auto"/>
              <w:jc w:val="center"/>
              <w:rPr>
                <w:rFonts w:ascii="Arial" w:hAnsi="Arial" w:cs="Arial"/>
                <w:b/>
                <w:bCs/>
                <w:sz w:val="22"/>
              </w:rPr>
            </w:pPr>
            <w:r w:rsidRPr="000F5A47">
              <w:rPr>
                <w:rFonts w:ascii="Arial" w:hAnsi="Arial" w:cs="Arial"/>
                <w:b/>
                <w:bCs/>
                <w:sz w:val="22"/>
              </w:rPr>
              <w:t>New/Replacement NDC</w:t>
            </w:r>
          </w:p>
        </w:tc>
        <w:tc>
          <w:tcPr>
            <w:tcW w:w="2698" w:type="dxa"/>
            <w:tcBorders>
              <w:top w:val="single" w:sz="8" w:space="0" w:color="4F81BD"/>
              <w:left w:val="single" w:sz="8" w:space="0" w:color="4F81BD"/>
              <w:bottom w:val="single" w:sz="8" w:space="0" w:color="4F81BD"/>
              <w:right w:val="single" w:sz="8" w:space="0" w:color="4F81BD"/>
            </w:tcBorders>
            <w:shd w:val="clear" w:color="auto" w:fill="001D60" w:themeFill="accent5"/>
          </w:tcPr>
          <w:p w14:paraId="3E6FA1B9" w14:textId="3966989A" w:rsidR="004A2B59" w:rsidRPr="000F5A47" w:rsidRDefault="004A2B59" w:rsidP="000F5A47">
            <w:pPr>
              <w:spacing w:before="120" w:after="120" w:line="276" w:lineRule="auto"/>
              <w:jc w:val="center"/>
              <w:rPr>
                <w:rFonts w:ascii="Arial" w:hAnsi="Arial" w:cs="Arial"/>
                <w:b/>
                <w:bCs/>
                <w:sz w:val="22"/>
              </w:rPr>
            </w:pPr>
            <w:r w:rsidRPr="000F5A47">
              <w:rPr>
                <w:rFonts w:ascii="Arial" w:hAnsi="Arial" w:cs="Arial"/>
                <w:b/>
                <w:bCs/>
                <w:sz w:val="22"/>
              </w:rPr>
              <w:t>Effective Date</w:t>
            </w:r>
          </w:p>
        </w:tc>
      </w:tr>
      <w:tr w:rsidR="004A2B59" w14:paraId="736F0325" w14:textId="77777777" w:rsidTr="00EA412B">
        <w:tc>
          <w:tcPr>
            <w:tcW w:w="2697" w:type="dxa"/>
            <w:tcBorders>
              <w:top w:val="single" w:sz="8" w:space="0" w:color="4F81BD"/>
              <w:left w:val="single" w:sz="8" w:space="0" w:color="4F81BD"/>
              <w:bottom w:val="single" w:sz="8" w:space="0" w:color="4F81BD"/>
              <w:right w:val="single" w:sz="8" w:space="0" w:color="4F81BD"/>
            </w:tcBorders>
          </w:tcPr>
          <w:p w14:paraId="769CE439" w14:textId="77777777" w:rsidR="004A2B59" w:rsidRDefault="004A2B59" w:rsidP="004A2B59">
            <w:pPr>
              <w:spacing w:after="200" w:line="276" w:lineRule="auto"/>
              <w:jc w:val="center"/>
              <w:rPr>
                <w:rFonts w:ascii="Arial" w:hAnsi="Arial" w:cs="Arial"/>
                <w:sz w:val="22"/>
              </w:rPr>
            </w:pPr>
          </w:p>
        </w:tc>
        <w:tc>
          <w:tcPr>
            <w:tcW w:w="2697" w:type="dxa"/>
            <w:tcBorders>
              <w:top w:val="single" w:sz="8" w:space="0" w:color="4F81BD"/>
              <w:left w:val="single" w:sz="8" w:space="0" w:color="4F81BD"/>
              <w:bottom w:val="single" w:sz="8" w:space="0" w:color="4F81BD"/>
              <w:right w:val="single" w:sz="8" w:space="0" w:color="4F81BD"/>
            </w:tcBorders>
          </w:tcPr>
          <w:p w14:paraId="7BEC47C1" w14:textId="77777777" w:rsidR="004A2B59" w:rsidRDefault="004A2B59" w:rsidP="004A2B59">
            <w:pPr>
              <w:spacing w:after="200" w:line="276" w:lineRule="auto"/>
              <w:jc w:val="center"/>
              <w:rPr>
                <w:rFonts w:ascii="Arial" w:hAnsi="Arial" w:cs="Arial"/>
                <w:sz w:val="22"/>
              </w:rPr>
            </w:pPr>
          </w:p>
        </w:tc>
        <w:tc>
          <w:tcPr>
            <w:tcW w:w="2698" w:type="dxa"/>
            <w:tcBorders>
              <w:top w:val="single" w:sz="8" w:space="0" w:color="4F81BD"/>
              <w:left w:val="single" w:sz="8" w:space="0" w:color="4F81BD"/>
              <w:bottom w:val="single" w:sz="8" w:space="0" w:color="4F81BD"/>
              <w:right w:val="single" w:sz="8" w:space="0" w:color="4F81BD"/>
            </w:tcBorders>
          </w:tcPr>
          <w:p w14:paraId="3289AA6E" w14:textId="77777777" w:rsidR="004A2B59" w:rsidRDefault="004A2B59" w:rsidP="004A2B59">
            <w:pPr>
              <w:spacing w:after="200" w:line="276" w:lineRule="auto"/>
              <w:jc w:val="center"/>
              <w:rPr>
                <w:rFonts w:ascii="Arial" w:hAnsi="Arial" w:cs="Arial"/>
                <w:sz w:val="22"/>
              </w:rPr>
            </w:pPr>
          </w:p>
        </w:tc>
        <w:tc>
          <w:tcPr>
            <w:tcW w:w="2698" w:type="dxa"/>
            <w:tcBorders>
              <w:top w:val="single" w:sz="8" w:space="0" w:color="4F81BD"/>
              <w:left w:val="single" w:sz="8" w:space="0" w:color="4F81BD"/>
              <w:bottom w:val="single" w:sz="8" w:space="0" w:color="4F81BD"/>
              <w:right w:val="single" w:sz="8" w:space="0" w:color="4F81BD"/>
            </w:tcBorders>
          </w:tcPr>
          <w:p w14:paraId="665C066A" w14:textId="77777777" w:rsidR="004A2B59" w:rsidRDefault="004A2B59" w:rsidP="004A2B59">
            <w:pPr>
              <w:spacing w:after="200" w:line="276" w:lineRule="auto"/>
              <w:jc w:val="center"/>
              <w:rPr>
                <w:rFonts w:ascii="Arial" w:hAnsi="Arial" w:cs="Arial"/>
                <w:sz w:val="22"/>
              </w:rPr>
            </w:pPr>
          </w:p>
        </w:tc>
      </w:tr>
      <w:tr w:rsidR="004A2B59" w14:paraId="343FA86B" w14:textId="77777777" w:rsidTr="00EA412B">
        <w:tc>
          <w:tcPr>
            <w:tcW w:w="2697" w:type="dxa"/>
            <w:tcBorders>
              <w:top w:val="single" w:sz="8" w:space="0" w:color="4F81BD"/>
              <w:left w:val="single" w:sz="8" w:space="0" w:color="4F81BD"/>
              <w:bottom w:val="single" w:sz="8" w:space="0" w:color="4F81BD"/>
              <w:right w:val="single" w:sz="8" w:space="0" w:color="4F81BD"/>
            </w:tcBorders>
          </w:tcPr>
          <w:p w14:paraId="302717A3" w14:textId="77777777" w:rsidR="004A2B59" w:rsidRDefault="004A2B59" w:rsidP="004A2B59">
            <w:pPr>
              <w:spacing w:after="200" w:line="276" w:lineRule="auto"/>
              <w:jc w:val="center"/>
              <w:rPr>
                <w:rFonts w:ascii="Arial" w:hAnsi="Arial" w:cs="Arial"/>
                <w:sz w:val="22"/>
              </w:rPr>
            </w:pPr>
          </w:p>
        </w:tc>
        <w:tc>
          <w:tcPr>
            <w:tcW w:w="2697" w:type="dxa"/>
            <w:tcBorders>
              <w:top w:val="single" w:sz="8" w:space="0" w:color="4F81BD"/>
              <w:left w:val="single" w:sz="8" w:space="0" w:color="4F81BD"/>
              <w:bottom w:val="single" w:sz="8" w:space="0" w:color="4F81BD"/>
              <w:right w:val="single" w:sz="8" w:space="0" w:color="4F81BD"/>
            </w:tcBorders>
          </w:tcPr>
          <w:p w14:paraId="66C2856E" w14:textId="77777777" w:rsidR="004A2B59" w:rsidRDefault="004A2B59" w:rsidP="004A2B59">
            <w:pPr>
              <w:spacing w:after="200" w:line="276" w:lineRule="auto"/>
              <w:jc w:val="center"/>
              <w:rPr>
                <w:rFonts w:ascii="Arial" w:hAnsi="Arial" w:cs="Arial"/>
                <w:sz w:val="22"/>
              </w:rPr>
            </w:pPr>
          </w:p>
        </w:tc>
        <w:tc>
          <w:tcPr>
            <w:tcW w:w="2698" w:type="dxa"/>
            <w:tcBorders>
              <w:top w:val="single" w:sz="8" w:space="0" w:color="4F81BD"/>
              <w:left w:val="single" w:sz="8" w:space="0" w:color="4F81BD"/>
              <w:bottom w:val="single" w:sz="8" w:space="0" w:color="4F81BD"/>
              <w:right w:val="single" w:sz="8" w:space="0" w:color="4F81BD"/>
            </w:tcBorders>
          </w:tcPr>
          <w:p w14:paraId="4F85B629" w14:textId="77777777" w:rsidR="004A2B59" w:rsidRDefault="004A2B59" w:rsidP="004A2B59">
            <w:pPr>
              <w:spacing w:after="200" w:line="276" w:lineRule="auto"/>
              <w:jc w:val="center"/>
              <w:rPr>
                <w:rFonts w:ascii="Arial" w:hAnsi="Arial" w:cs="Arial"/>
                <w:sz w:val="22"/>
              </w:rPr>
            </w:pPr>
          </w:p>
        </w:tc>
        <w:tc>
          <w:tcPr>
            <w:tcW w:w="2698" w:type="dxa"/>
            <w:tcBorders>
              <w:top w:val="single" w:sz="8" w:space="0" w:color="4F81BD"/>
              <w:left w:val="single" w:sz="8" w:space="0" w:color="4F81BD"/>
              <w:bottom w:val="single" w:sz="8" w:space="0" w:color="4F81BD"/>
              <w:right w:val="single" w:sz="8" w:space="0" w:color="4F81BD"/>
            </w:tcBorders>
          </w:tcPr>
          <w:p w14:paraId="57AA1DA2" w14:textId="77777777" w:rsidR="004A2B59" w:rsidRDefault="004A2B59" w:rsidP="004A2B59">
            <w:pPr>
              <w:spacing w:after="200" w:line="276" w:lineRule="auto"/>
              <w:jc w:val="center"/>
              <w:rPr>
                <w:rFonts w:ascii="Arial" w:hAnsi="Arial" w:cs="Arial"/>
                <w:sz w:val="22"/>
              </w:rPr>
            </w:pPr>
          </w:p>
        </w:tc>
      </w:tr>
    </w:tbl>
    <w:p w14:paraId="143A604D" w14:textId="77777777" w:rsidR="004012C6" w:rsidRDefault="004A2B59" w:rsidP="00102CE5">
      <w:pPr>
        <w:spacing w:after="200" w:line="276" w:lineRule="auto"/>
        <w:rPr>
          <w:rFonts w:ascii="Arial" w:hAnsi="Arial" w:cs="Arial"/>
          <w:sz w:val="22"/>
        </w:rPr>
      </w:pPr>
      <w:r>
        <w:rPr>
          <w:rFonts w:ascii="Arial" w:hAnsi="Arial" w:cs="Arial"/>
          <w:sz w:val="22"/>
        </w:rPr>
        <w:t xml:space="preserve">  </w:t>
      </w:r>
    </w:p>
    <w:p w14:paraId="48EBC9D3" w14:textId="2858A662" w:rsidR="00102CE5" w:rsidRDefault="00102CE5" w:rsidP="00102CE5">
      <w:pPr>
        <w:spacing w:after="200" w:line="276" w:lineRule="auto"/>
        <w:rPr>
          <w:rFonts w:ascii="Arial" w:hAnsi="Arial" w:cs="Arial"/>
          <w:b/>
          <w:i/>
          <w:sz w:val="22"/>
        </w:rPr>
      </w:pPr>
      <w:r>
        <w:rPr>
          <w:rFonts w:ascii="Arial" w:hAnsi="Arial" w:cs="Arial"/>
          <w:sz w:val="22"/>
        </w:rPr>
        <w:t xml:space="preserve">The new NDC(s) </w:t>
      </w:r>
      <w:r w:rsidR="00195C0C">
        <w:rPr>
          <w:rFonts w:ascii="Arial" w:hAnsi="Arial" w:cs="Arial"/>
          <w:sz w:val="22"/>
        </w:rPr>
        <w:t>will</w:t>
      </w:r>
      <w:r>
        <w:rPr>
          <w:rFonts w:ascii="Arial" w:hAnsi="Arial" w:cs="Arial"/>
          <w:sz w:val="22"/>
        </w:rPr>
        <w:t xml:space="preserve"> not signify any change in product form, strength, or composition. Because each</w:t>
      </w:r>
      <w:r w:rsidR="006563BE">
        <w:rPr>
          <w:rFonts w:ascii="Arial" w:hAnsi="Arial" w:cs="Arial"/>
          <w:sz w:val="22"/>
        </w:rPr>
        <w:t xml:space="preserve"> new </w:t>
      </w:r>
      <w:r w:rsidR="006563BE" w:rsidRPr="00270F57">
        <w:rPr>
          <w:rStyle w:val="IntenseEmphasis"/>
        </w:rPr>
        <w:t>[Drug Name]</w:t>
      </w:r>
      <w:r w:rsidR="006563BE">
        <w:rPr>
          <w:rFonts w:ascii="Arial" w:hAnsi="Arial" w:cs="Arial"/>
          <w:sz w:val="22"/>
        </w:rPr>
        <w:t xml:space="preserve"> NDC represents the same product as the corresponding old NDC, </w:t>
      </w:r>
      <w:r w:rsidR="006563BE" w:rsidRPr="00270F57">
        <w:rPr>
          <w:rStyle w:val="IntenseEmphasis"/>
        </w:rPr>
        <w:t>[Manufacturer]</w:t>
      </w:r>
      <w:r w:rsidR="006563BE">
        <w:rPr>
          <w:rFonts w:ascii="Arial" w:hAnsi="Arial" w:cs="Arial"/>
          <w:sz w:val="22"/>
        </w:rPr>
        <w:t xml:space="preserve"> will permit eligible 340B covered entities that use a compliant 340B inventory replenishment model to count accumulations of each old NDC toward replenishment of equal quantities for each corresponding new NDC</w:t>
      </w:r>
      <w:r w:rsidR="006563BE" w:rsidRPr="006563BE">
        <w:rPr>
          <w:rFonts w:ascii="Arial" w:hAnsi="Arial" w:cs="Arial"/>
          <w:i/>
          <w:sz w:val="22"/>
        </w:rPr>
        <w:t>.</w:t>
      </w:r>
      <w:r w:rsidR="00D05FBC">
        <w:rPr>
          <w:rFonts w:ascii="Arial" w:hAnsi="Arial" w:cs="Arial"/>
          <w:i/>
          <w:sz w:val="22"/>
        </w:rPr>
        <w:t xml:space="preserve"> </w:t>
      </w:r>
    </w:p>
    <w:p w14:paraId="4449299A" w14:textId="66AA2F80" w:rsidR="00807CC3" w:rsidRPr="00807CC3" w:rsidRDefault="00D05FBC" w:rsidP="00102CE5">
      <w:pPr>
        <w:spacing w:after="200" w:line="276" w:lineRule="auto"/>
        <w:rPr>
          <w:i/>
          <w:iCs/>
          <w:color w:val="F7941E" w:themeColor="accent1"/>
        </w:rPr>
      </w:pPr>
      <w:r>
        <w:rPr>
          <w:rFonts w:ascii="Arial" w:hAnsi="Arial" w:cs="Arial"/>
          <w:sz w:val="22"/>
        </w:rPr>
        <w:t xml:space="preserve">The new NDCs will be available as early as </w:t>
      </w:r>
      <w:r w:rsidRPr="00270F57">
        <w:rPr>
          <w:rStyle w:val="IntenseEmphasis"/>
        </w:rPr>
        <w:t>[date]</w:t>
      </w:r>
      <w:r>
        <w:rPr>
          <w:rFonts w:ascii="Arial" w:hAnsi="Arial" w:cs="Arial"/>
          <w:sz w:val="22"/>
        </w:rPr>
        <w:t xml:space="preserve">. </w:t>
      </w:r>
      <w:r w:rsidRPr="00270F57">
        <w:rPr>
          <w:rStyle w:val="IntenseEmphasis"/>
        </w:rPr>
        <w:t>[Manufacturer]</w:t>
      </w:r>
      <w:r>
        <w:rPr>
          <w:rFonts w:ascii="Arial" w:hAnsi="Arial" w:cs="Arial"/>
          <w:sz w:val="22"/>
        </w:rPr>
        <w:t xml:space="preserve"> will sell its remaining inventory of each old NDC until it is exhausted, at which point </w:t>
      </w:r>
      <w:r w:rsidRPr="00270F57">
        <w:rPr>
          <w:rStyle w:val="IntenseEmphasis"/>
        </w:rPr>
        <w:t xml:space="preserve">[Manufacturer] </w:t>
      </w:r>
      <w:r>
        <w:rPr>
          <w:rFonts w:ascii="Arial" w:hAnsi="Arial" w:cs="Arial"/>
          <w:sz w:val="22"/>
        </w:rPr>
        <w:t xml:space="preserve">will begin distributing the corresponding new NDC. </w:t>
      </w:r>
      <w:r w:rsidRPr="00270F57">
        <w:rPr>
          <w:rStyle w:val="IntenseEmphasis"/>
        </w:rPr>
        <w:t>[Manufacturer]</w:t>
      </w:r>
      <w:r>
        <w:rPr>
          <w:rFonts w:ascii="Arial" w:hAnsi="Arial" w:cs="Arial"/>
          <w:sz w:val="22"/>
        </w:rPr>
        <w:t xml:space="preserve"> or your distributor will communicate further information regarding the availability of each new NDC. </w:t>
      </w:r>
      <w:r w:rsidRPr="00270F57">
        <w:rPr>
          <w:rStyle w:val="IntenseEmphasis"/>
        </w:rPr>
        <w:t>Chargebacks and returns will continue to be processed for the old NDCs.</w:t>
      </w:r>
    </w:p>
    <w:p w14:paraId="12C58116" w14:textId="6D87C339" w:rsidR="00D05FBC" w:rsidRDefault="00D05FBC" w:rsidP="00102CE5">
      <w:pPr>
        <w:spacing w:after="200" w:line="276" w:lineRule="auto"/>
        <w:rPr>
          <w:rFonts w:ascii="Arial" w:hAnsi="Arial" w:cs="Arial"/>
          <w:sz w:val="22"/>
        </w:rPr>
      </w:pPr>
      <w:r>
        <w:rPr>
          <w:rFonts w:ascii="Arial" w:hAnsi="Arial" w:cs="Arial"/>
          <w:sz w:val="22"/>
        </w:rPr>
        <w:t xml:space="preserve">For any questions regarding this notice contact </w:t>
      </w:r>
      <w:r w:rsidRPr="00270F57">
        <w:rPr>
          <w:rStyle w:val="IntenseEmphasis"/>
        </w:rPr>
        <w:t>[Manufacturer contact information].</w:t>
      </w:r>
    </w:p>
    <w:p w14:paraId="7D42FC54" w14:textId="03392A73" w:rsidR="00F03524" w:rsidRDefault="00D05FBC" w:rsidP="00863E8F">
      <w:pPr>
        <w:spacing w:after="200" w:line="276" w:lineRule="auto"/>
        <w:rPr>
          <w:rFonts w:ascii="Arial" w:hAnsi="Arial" w:cs="Arial"/>
          <w:sz w:val="22"/>
        </w:rPr>
      </w:pPr>
      <w:r>
        <w:rPr>
          <w:rFonts w:ascii="Arial" w:hAnsi="Arial" w:cs="Arial"/>
          <w:sz w:val="22"/>
        </w:rPr>
        <w:t>Thank you for your attention.</w:t>
      </w:r>
    </w:p>
    <w:p w14:paraId="431E26EA" w14:textId="76C7AE22" w:rsidR="004012C6" w:rsidRPr="004012C6" w:rsidRDefault="004012C6" w:rsidP="004012C6">
      <w:pPr>
        <w:rPr>
          <w:sz w:val="14"/>
        </w:rPr>
      </w:pPr>
    </w:p>
    <w:p w14:paraId="1E2E4F05" w14:textId="77777777" w:rsidR="004012C6" w:rsidRPr="004012C6" w:rsidRDefault="004012C6" w:rsidP="004012C6">
      <w:pPr>
        <w:rPr>
          <w:sz w:val="14"/>
        </w:rPr>
      </w:pPr>
    </w:p>
    <w:sectPr w:rsidR="004012C6" w:rsidRPr="004012C6" w:rsidSect="0000175C">
      <w:headerReference w:type="default" r:id="rId15"/>
      <w:footerReference w:type="default" r:id="rId16"/>
      <w:headerReference w:type="first" r:id="rId17"/>
      <w:footerReference w:type="first" r:id="rId18"/>
      <w:pgSz w:w="12240" w:h="15840"/>
      <w:pgMar w:top="2347" w:right="720" w:bottom="1080" w:left="720"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73B96" w14:textId="77777777" w:rsidR="0068280F" w:rsidRDefault="0068280F" w:rsidP="00B773C7">
      <w:r>
        <w:separator/>
      </w:r>
    </w:p>
  </w:endnote>
  <w:endnote w:type="continuationSeparator" w:id="0">
    <w:p w14:paraId="3B102A69" w14:textId="77777777" w:rsidR="0068280F" w:rsidRDefault="0068280F" w:rsidP="00B773C7">
      <w:r>
        <w:continuationSeparator/>
      </w:r>
    </w:p>
  </w:endnote>
  <w:endnote w:type="continuationNotice" w:id="1">
    <w:p w14:paraId="551E2A79" w14:textId="77777777" w:rsidR="0068280F" w:rsidRDefault="00682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F799" w14:textId="68EC3F41" w:rsidR="00863E8F" w:rsidRDefault="00863E8F" w:rsidP="00863E8F">
    <w:pPr>
      <w:pStyle w:val="NormalWeb"/>
      <w:spacing w:before="0" w:beforeAutospacing="0" w:after="0" w:afterAutospacing="0"/>
      <w:rPr>
        <w:rFonts w:ascii="Arial Narrow" w:hAnsi="Arial Narrow"/>
        <w:i/>
        <w:color w:val="000000" w:themeColor="text1"/>
        <w:sz w:val="14"/>
      </w:rPr>
    </w:pPr>
    <w:r w:rsidRPr="00830014">
      <w:rPr>
        <w:rFonts w:ascii="Arial Narrow" w:hAnsi="Arial Narrow"/>
        <w:i/>
        <w:color w:val="000000" w:themeColor="text1"/>
        <w:sz w:val="14"/>
      </w:rPr>
      <w:t>This tool is written</w:t>
    </w:r>
    <w:r>
      <w:rPr>
        <w:rFonts w:ascii="Arial Narrow" w:hAnsi="Arial Narrow"/>
        <w:i/>
        <w:color w:val="000000" w:themeColor="text1"/>
        <w:sz w:val="14"/>
      </w:rPr>
      <w:t xml:space="preserve"> </w:t>
    </w:r>
    <w:r w:rsidRPr="00830014">
      <w:rPr>
        <w:rFonts w:ascii="Arial Narrow" w:hAnsi="Arial Narrow"/>
        <w:i/>
        <w:color w:val="000000" w:themeColor="text1"/>
        <w:sz w:val="14"/>
      </w:rPr>
      <w:t xml:space="preserve">to align with Health Resources and Services Administration (HRSA) </w:t>
    </w:r>
    <w:r w:rsidR="004012C6" w:rsidRPr="00830014">
      <w:rPr>
        <w:rFonts w:ascii="Arial Narrow" w:hAnsi="Arial Narrow"/>
        <w:i/>
        <w:color w:val="000000" w:themeColor="text1"/>
        <w:sz w:val="14"/>
      </w:rPr>
      <w:t>policy and</w:t>
    </w:r>
    <w:r w:rsidRPr="00830014">
      <w:rPr>
        <w:rFonts w:ascii="Arial Narrow" w:hAnsi="Arial Narrow"/>
        <w:i/>
        <w:color w:val="000000" w:themeColor="text1"/>
        <w:sz w:val="14"/>
      </w:rPr>
      <w:t xml:space="preserve"> is provided only as an example for t</w:t>
    </w:r>
    <w:r>
      <w:rPr>
        <w:rFonts w:ascii="Arial Narrow" w:hAnsi="Arial Narrow"/>
        <w:i/>
        <w:color w:val="000000" w:themeColor="text1"/>
        <w:sz w:val="14"/>
      </w:rPr>
      <w:t>he purpose of encouraging 340B P</w:t>
    </w:r>
    <w:r w:rsidRPr="00830014">
      <w:rPr>
        <w:rFonts w:ascii="Arial Narrow" w:hAnsi="Arial Narrow"/>
        <w:i/>
        <w:color w:val="000000" w:themeColor="text1"/>
        <w:sz w:val="14"/>
      </w:rPr>
      <w:t xml:space="preserve">rogram integrity. 340B stakeholders are ultimately responsible </w:t>
    </w:r>
    <w:r>
      <w:rPr>
        <w:rFonts w:ascii="Arial Narrow" w:hAnsi="Arial Narrow"/>
        <w:i/>
        <w:color w:val="000000" w:themeColor="text1"/>
        <w:sz w:val="14"/>
      </w:rPr>
      <w:t>for 340B P</w:t>
    </w:r>
    <w:r w:rsidRPr="00830014">
      <w:rPr>
        <w:rFonts w:ascii="Arial Narrow" w:hAnsi="Arial Narrow"/>
        <w:i/>
        <w:color w:val="000000" w:themeColor="text1"/>
        <w:sz w:val="14"/>
      </w:rPr>
      <w:t>rogram compliance and compliance with all other applicable laws and regulations. Apexus encourages all stakeholders to include legal counsel as part of their program integrity efforts.</w:t>
    </w:r>
  </w:p>
  <w:p w14:paraId="65AB91CC" w14:textId="10B90B39" w:rsidR="0000175C" w:rsidRPr="001A2BB1" w:rsidRDefault="0000175C" w:rsidP="0000175C">
    <w:pPr>
      <w:pStyle w:val="Footer"/>
      <w:tabs>
        <w:tab w:val="clear" w:pos="4680"/>
        <w:tab w:val="clear" w:pos="9360"/>
      </w:tabs>
      <w:spacing w:before="60" w:after="60"/>
      <w:jc w:val="right"/>
      <w:rPr>
        <w:color w:val="696969" w:themeColor="text2"/>
        <w:sz w:val="22"/>
        <w:szCs w:val="20"/>
      </w:rPr>
    </w:pPr>
    <w:r w:rsidRPr="001A2BB1">
      <w:rPr>
        <w:color w:val="696969" w:themeColor="text2"/>
        <w:sz w:val="22"/>
        <w:szCs w:val="20"/>
      </w:rPr>
      <w:t xml:space="preserve">Page </w:t>
    </w:r>
    <w:r w:rsidRPr="001A2BB1">
      <w:rPr>
        <w:color w:val="696969" w:themeColor="text2"/>
        <w:sz w:val="22"/>
        <w:szCs w:val="20"/>
      </w:rPr>
      <w:fldChar w:fldCharType="begin"/>
    </w:r>
    <w:r w:rsidRPr="001A2BB1">
      <w:rPr>
        <w:color w:val="696969" w:themeColor="text2"/>
        <w:sz w:val="22"/>
        <w:szCs w:val="20"/>
      </w:rPr>
      <w:instrText xml:space="preserve"> PAGE   \* MERGEFORMAT </w:instrText>
    </w:r>
    <w:r w:rsidRPr="001A2BB1">
      <w:rPr>
        <w:color w:val="696969" w:themeColor="text2"/>
        <w:sz w:val="22"/>
        <w:szCs w:val="20"/>
      </w:rPr>
      <w:fldChar w:fldCharType="separate"/>
    </w:r>
    <w:r w:rsidR="00820025">
      <w:rPr>
        <w:noProof/>
        <w:color w:val="696969" w:themeColor="text2"/>
        <w:sz w:val="22"/>
        <w:szCs w:val="20"/>
      </w:rPr>
      <w:t>1</w:t>
    </w:r>
    <w:r w:rsidRPr="001A2BB1">
      <w:rPr>
        <w:noProof/>
        <w:color w:val="696969" w:themeColor="text2"/>
        <w:sz w:val="22"/>
        <w:szCs w:val="20"/>
      </w:rPr>
      <w:fldChar w:fldCharType="end"/>
    </w:r>
  </w:p>
  <w:p w14:paraId="02053653" w14:textId="77777777" w:rsidR="0000175C" w:rsidRPr="001A2BB1" w:rsidRDefault="0000175C" w:rsidP="0000175C">
    <w:pPr>
      <w:pStyle w:val="Footer"/>
      <w:tabs>
        <w:tab w:val="clear" w:pos="4680"/>
        <w:tab w:val="clear" w:pos="9360"/>
      </w:tabs>
      <w:spacing w:before="60" w:after="60"/>
      <w:jc w:val="center"/>
      <w:rPr>
        <w:color w:val="696969" w:themeColor="text2"/>
        <w:sz w:val="22"/>
        <w:szCs w:val="20"/>
      </w:rPr>
    </w:pPr>
    <w:r w:rsidRPr="001A2BB1">
      <w:rPr>
        <w:color w:val="696969" w:themeColor="text2"/>
        <w:sz w:val="22"/>
        <w:szCs w:val="20"/>
      </w:rPr>
      <w:t xml:space="preserve">340B Prime Vendor Program | </w:t>
    </w:r>
    <w:proofErr w:type="gramStart"/>
    <w:r w:rsidRPr="001A2BB1">
      <w:rPr>
        <w:color w:val="696969" w:themeColor="text2"/>
        <w:sz w:val="22"/>
        <w:szCs w:val="20"/>
      </w:rPr>
      <w:t>888.340.BPVP</w:t>
    </w:r>
    <w:proofErr w:type="gramEnd"/>
    <w:r w:rsidRPr="001A2BB1">
      <w:rPr>
        <w:color w:val="696969" w:themeColor="text2"/>
        <w:sz w:val="22"/>
        <w:szCs w:val="20"/>
      </w:rPr>
      <w:t xml:space="preserve"> (2787)</w:t>
    </w:r>
    <w:r>
      <w:rPr>
        <w:color w:val="696969" w:themeColor="text2"/>
        <w:sz w:val="22"/>
        <w:szCs w:val="20"/>
      </w:rPr>
      <w:t xml:space="preserve"> </w:t>
    </w:r>
    <w:r w:rsidRPr="001A2BB1">
      <w:rPr>
        <w:color w:val="696969" w:themeColor="text2"/>
        <w:sz w:val="22"/>
        <w:szCs w:val="20"/>
      </w:rPr>
      <w:t xml:space="preserve">| apexusanswers@340Bpvp.com | www.340Bpvp.com </w:t>
    </w:r>
  </w:p>
  <w:p w14:paraId="1D01C142" w14:textId="0C6107E2" w:rsidR="00BD2A7F" w:rsidRPr="0000175C" w:rsidRDefault="0000175C" w:rsidP="0000175C">
    <w:pPr>
      <w:pStyle w:val="Footer"/>
    </w:pPr>
    <w:r w:rsidRPr="00B773C7">
      <w:rPr>
        <w:color w:val="696969" w:themeColor="text2"/>
        <w:sz w:val="16"/>
      </w:rPr>
      <w:t>© 20</w:t>
    </w:r>
    <w:r w:rsidR="00E40278">
      <w:rPr>
        <w:color w:val="696969" w:themeColor="text2"/>
        <w:sz w:val="16"/>
      </w:rPr>
      <w:t>2</w:t>
    </w:r>
    <w:r w:rsidR="0070435B">
      <w:rPr>
        <w:color w:val="696969" w:themeColor="text2"/>
        <w:sz w:val="16"/>
      </w:rPr>
      <w:t>4</w:t>
    </w:r>
    <w:r w:rsidRPr="00B773C7">
      <w:rPr>
        <w:color w:val="696969" w:themeColor="text2"/>
        <w:sz w:val="16"/>
      </w:rPr>
      <w:t xml:space="preserve"> Apexus LLC.  All rights reserved.</w:t>
    </w:r>
    <w:r>
      <w:rPr>
        <w:color w:val="696969" w:themeColor="text2"/>
        <w:sz w:val="16"/>
      </w:rPr>
      <w:tab/>
    </w:r>
    <w:r>
      <w:rPr>
        <w:color w:val="696969" w:themeColor="text2"/>
        <w:sz w:val="16"/>
      </w:rPr>
      <w:tab/>
    </w:r>
    <w:r>
      <w:rPr>
        <w:color w:val="696969" w:themeColor="text2"/>
        <w:sz w:val="16"/>
      </w:rPr>
      <w:tab/>
    </w:r>
    <w:r w:rsidR="00B87BB2">
      <w:rPr>
        <w:color w:val="696969" w:themeColor="text2"/>
        <w:sz w:val="16"/>
      </w:rPr>
      <w:t xml:space="preserve">   0604</w:t>
    </w:r>
    <w:r w:rsidR="00C210B2">
      <w:rPr>
        <w:color w:val="696969" w:themeColor="text2"/>
        <w:sz w:val="16"/>
      </w:rPr>
      <w:t>202</w:t>
    </w:r>
    <w:r w:rsidR="00EA412B">
      <w:rPr>
        <w:color w:val="696969" w:themeColor="text2"/>
        <w:sz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551C" w14:textId="77777777" w:rsidR="00BD2A7F" w:rsidRPr="0078718F" w:rsidRDefault="00BD2A7F" w:rsidP="00857736">
    <w:pPr>
      <w:pStyle w:val="Footer"/>
      <w:tabs>
        <w:tab w:val="clear" w:pos="4680"/>
        <w:tab w:val="clear" w:pos="9360"/>
      </w:tabs>
      <w:spacing w:before="60" w:after="60"/>
      <w:jc w:val="center"/>
      <w:rPr>
        <w:color w:val="696969" w:themeColor="text2"/>
        <w:sz w:val="22"/>
      </w:rPr>
    </w:pPr>
    <w:r w:rsidRPr="0078718F">
      <w:rPr>
        <w:color w:val="696969" w:themeColor="text2"/>
        <w:sz w:val="22"/>
      </w:rPr>
      <w:t>Apexus</w:t>
    </w:r>
    <w:r>
      <w:rPr>
        <w:color w:val="696969" w:themeColor="text2"/>
        <w:sz w:val="22"/>
      </w:rPr>
      <w:t xml:space="preserve"> Answers Call Center</w:t>
    </w:r>
    <w:r w:rsidRPr="0078718F">
      <w:rPr>
        <w:color w:val="696969" w:themeColor="text2"/>
        <w:sz w:val="22"/>
      </w:rPr>
      <w:t xml:space="preserve"> | 340B Prime Vendor Program</w:t>
    </w:r>
    <w:r>
      <w:rPr>
        <w:color w:val="696969" w:themeColor="text2"/>
        <w:sz w:val="22"/>
      </w:rPr>
      <w:t xml:space="preserve"> | 340B University </w:t>
    </w:r>
    <w:r w:rsidRPr="0078718F">
      <w:rPr>
        <w:color w:val="696969" w:themeColor="text2"/>
        <w:sz w:val="22"/>
      </w:rPr>
      <w:t>| 888.340.2787 | www.</w:t>
    </w:r>
    <w:r>
      <w:rPr>
        <w:color w:val="696969" w:themeColor="text2"/>
        <w:sz w:val="22"/>
      </w:rPr>
      <w:t>340bpvp</w:t>
    </w:r>
    <w:r w:rsidRPr="0078718F">
      <w:rPr>
        <w:color w:val="696969" w:themeColor="text2"/>
        <w:sz w:val="22"/>
      </w:rPr>
      <w:t>.com</w:t>
    </w:r>
  </w:p>
  <w:p w14:paraId="171DD94F" w14:textId="77777777" w:rsidR="00BD2A7F" w:rsidRPr="00857736" w:rsidRDefault="00BD2A7F" w:rsidP="00857736">
    <w:pPr>
      <w:pStyle w:val="Footer"/>
      <w:tabs>
        <w:tab w:val="clear" w:pos="4680"/>
        <w:tab w:val="clear" w:pos="9360"/>
        <w:tab w:val="right" w:pos="10800"/>
      </w:tabs>
      <w:jc w:val="center"/>
      <w:rPr>
        <w:color w:val="696969" w:themeColor="text2"/>
        <w:sz w:val="16"/>
      </w:rPr>
    </w:pPr>
    <w:r w:rsidRPr="00B773C7">
      <w:rPr>
        <w:color w:val="696969" w:themeColor="text2"/>
        <w:sz w:val="16"/>
      </w:rPr>
      <w:t>© 201</w:t>
    </w:r>
    <w:r>
      <w:rPr>
        <w:color w:val="696969" w:themeColor="text2"/>
        <w:sz w:val="16"/>
      </w:rPr>
      <w:t>5</w:t>
    </w:r>
    <w:r w:rsidRPr="00B773C7">
      <w:rPr>
        <w:color w:val="696969" w:themeColor="text2"/>
        <w:sz w:val="16"/>
      </w:rPr>
      <w:t xml:space="preserve"> Apexus LLC</w:t>
    </w:r>
    <w:r w:rsidR="00265500">
      <w:rPr>
        <w:color w:val="696969" w:themeColor="text2"/>
        <w:sz w:val="16"/>
      </w:rPr>
      <w:t xml:space="preserve">. </w:t>
    </w:r>
    <w:r w:rsidRPr="00B773C7">
      <w:rPr>
        <w:color w:val="696969" w:themeColor="text2"/>
        <w:sz w:val="16"/>
      </w:rPr>
      <w:t>All rights reserved.</w:t>
    </w:r>
    <w:r>
      <w:rPr>
        <w:color w:val="696969" w:themeColor="text2"/>
        <w:sz w:val="16"/>
      </w:rPr>
      <w:tab/>
      <w:t>Version 02182015</w:t>
    </w:r>
    <w:r>
      <w:rPr>
        <w:color w:val="696969" w:themeColor="text2"/>
        <w:sz w:val="16"/>
      </w:rPr>
      <w:tab/>
    </w:r>
    <w:r>
      <w:rPr>
        <w:color w:val="696969" w:themeColor="text2"/>
        <w:sz w:val="16"/>
      </w:rPr>
      <w:tab/>
      <w:t>Version 09152014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CC65A" w14:textId="77777777" w:rsidR="0068280F" w:rsidRDefault="0068280F" w:rsidP="00B773C7">
      <w:r>
        <w:separator/>
      </w:r>
    </w:p>
  </w:footnote>
  <w:footnote w:type="continuationSeparator" w:id="0">
    <w:p w14:paraId="0E498498" w14:textId="77777777" w:rsidR="0068280F" w:rsidRDefault="0068280F" w:rsidP="00B773C7">
      <w:r>
        <w:continuationSeparator/>
      </w:r>
    </w:p>
  </w:footnote>
  <w:footnote w:type="continuationNotice" w:id="1">
    <w:p w14:paraId="369285FB" w14:textId="77777777" w:rsidR="0068280F" w:rsidRDefault="006828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FDC8" w14:textId="26CF3E81" w:rsidR="0000175C" w:rsidRPr="00162516" w:rsidRDefault="00142F95" w:rsidP="00863E8F">
    <w:pPr>
      <w:pStyle w:val="Header"/>
      <w:rPr>
        <w:color w:val="002060"/>
        <w:sz w:val="36"/>
        <w:szCs w:val="36"/>
      </w:rPr>
    </w:pPr>
    <w:r w:rsidRPr="00162516">
      <w:rPr>
        <w:noProof/>
        <w:color w:val="002060"/>
        <w:sz w:val="36"/>
        <w:szCs w:val="36"/>
      </w:rPr>
      <w:drawing>
        <wp:anchor distT="0" distB="0" distL="114300" distR="114300" simplePos="0" relativeHeight="251658241" behindDoc="1" locked="0" layoutInCell="1" allowOverlap="1" wp14:anchorId="44FFCF7B" wp14:editId="0E67B03C">
          <wp:simplePos x="0" y="0"/>
          <wp:positionH relativeFrom="margin">
            <wp:posOffset>5075555</wp:posOffset>
          </wp:positionH>
          <wp:positionV relativeFrom="paragraph">
            <wp:posOffset>54610</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3192"/>
              <wp:lineTo x="19997" y="798"/>
              <wp:lineTo x="13093" y="0"/>
              <wp:lineTo x="1190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sidR="00E43967" w:rsidRPr="00162516">
      <w:rPr>
        <w:color w:val="00B0F0"/>
        <w:sz w:val="40"/>
        <w:szCs w:val="40"/>
      </w:rPr>
      <w:t xml:space="preserve">NDC Change Notification </w:t>
    </w:r>
    <w:r w:rsidR="00B56CB2" w:rsidRPr="00162516">
      <w:rPr>
        <w:color w:val="00B0F0"/>
        <w:sz w:val="40"/>
        <w:szCs w:val="40"/>
      </w:rPr>
      <w:t xml:space="preserve">Best Practices </w:t>
    </w:r>
    <w:r w:rsidR="008F02D0" w:rsidRPr="00162516">
      <w:rPr>
        <w:color w:val="00B0F0"/>
        <w:sz w:val="40"/>
        <w:szCs w:val="40"/>
      </w:rPr>
      <w:br/>
    </w:r>
    <w:r w:rsidR="00B56CB2" w:rsidRPr="00162516">
      <w:rPr>
        <w:color w:val="00B0F0"/>
        <w:sz w:val="40"/>
        <w:szCs w:val="40"/>
      </w:rPr>
      <w:t xml:space="preserve">and </w:t>
    </w:r>
    <w:r w:rsidR="0000175C" w:rsidRPr="00162516">
      <w:rPr>
        <w:color w:val="00B0F0"/>
        <w:sz w:val="40"/>
        <w:szCs w:val="40"/>
      </w:rPr>
      <w:t>Template</w:t>
    </w:r>
    <w:r w:rsidR="00B56CB2" w:rsidRPr="00162516">
      <w:rPr>
        <w:color w:val="00B0F0"/>
        <w:sz w:val="40"/>
        <w:szCs w:val="40"/>
      </w:rPr>
      <w:t xml:space="preserve"> for Communication</w:t>
    </w:r>
  </w:p>
  <w:p w14:paraId="4C5DCEFA" w14:textId="77777777" w:rsidR="00BD2A7F" w:rsidRPr="0000175C" w:rsidRDefault="0000175C" w:rsidP="00B37BDE">
    <w:pPr>
      <w:pStyle w:val="Header"/>
      <w:rPr>
        <w:rFonts w:ascii="Arial" w:hAnsi="Arial" w:cs="Arial"/>
        <w:noProof/>
        <w:color w:val="00B0F0"/>
        <w:sz w:val="40"/>
        <w:szCs w:val="40"/>
      </w:rPr>
    </w:pPr>
    <w:r>
      <w:rPr>
        <w:noProof/>
        <w:sz w:val="12"/>
      </w:rPr>
      <w:drawing>
        <wp:anchor distT="0" distB="0" distL="114300" distR="114300" simplePos="0" relativeHeight="251658240" behindDoc="0" locked="0" layoutInCell="1" allowOverlap="1" wp14:anchorId="14A6AC2C" wp14:editId="5927D552">
          <wp:simplePos x="0" y="0"/>
          <wp:positionH relativeFrom="column">
            <wp:posOffset>-15240</wp:posOffset>
          </wp:positionH>
          <wp:positionV relativeFrom="paragraph">
            <wp:posOffset>198120</wp:posOffset>
          </wp:positionV>
          <wp:extent cx="6858000" cy="13144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131445"/>
                  </a:xfrm>
                  <a:prstGeom prst="rect">
                    <a:avLst/>
                  </a:prstGeom>
                </pic:spPr>
              </pic:pic>
            </a:graphicData>
          </a:graphic>
          <wp14:sizeRelH relativeFrom="page">
            <wp14:pctWidth>0</wp14:pctWidth>
          </wp14:sizeRelH>
          <wp14:sizeRelV relativeFrom="page">
            <wp14:pctHeight>0</wp14:pctHeight>
          </wp14:sizeRelV>
        </wp:anchor>
      </w:drawing>
    </w:r>
    <w:r>
      <w:rPr>
        <w:noProof/>
        <w:sz w:val="36"/>
      </w:rPr>
      <w:tab/>
    </w:r>
  </w:p>
  <w:p w14:paraId="45DA272F" w14:textId="77777777" w:rsidR="00BD2A7F" w:rsidRPr="0067792A" w:rsidRDefault="00BD2A7F" w:rsidP="00B37BDE">
    <w:pPr>
      <w:pStyle w:val="Header"/>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76D5" w14:textId="77777777" w:rsidR="00BD2A7F" w:rsidRPr="00B773C7" w:rsidRDefault="00BD2A7F" w:rsidP="00637836">
    <w:pPr>
      <w:pStyle w:val="Header"/>
      <w:ind w:left="2520"/>
      <w:rPr>
        <w:rFonts w:ascii="Arial" w:hAnsi="Arial" w:cs="Arial"/>
        <w:noProof/>
        <w:sz w:val="36"/>
      </w:rPr>
    </w:pPr>
    <w:r w:rsidRPr="00B773C7">
      <w:rPr>
        <w:noProof/>
        <w:color w:val="696969" w:themeColor="text2"/>
        <w:sz w:val="36"/>
      </w:rPr>
      <w:drawing>
        <wp:anchor distT="0" distB="0" distL="114300" distR="114300" simplePos="0" relativeHeight="251658242" behindDoc="1" locked="0" layoutInCell="1" allowOverlap="1" wp14:anchorId="682F939D" wp14:editId="043ECC4D">
          <wp:simplePos x="0" y="0"/>
          <wp:positionH relativeFrom="column">
            <wp:posOffset>152400</wp:posOffset>
          </wp:positionH>
          <wp:positionV relativeFrom="paragraph">
            <wp:posOffset>-287655</wp:posOffset>
          </wp:positionV>
          <wp:extent cx="1054100" cy="1060450"/>
          <wp:effectExtent l="0" t="0" r="0" b="6350"/>
          <wp:wrapThrough wrapText="bothSides">
            <wp:wrapPolygon edited="0">
              <wp:start x="7027" y="0"/>
              <wp:lineTo x="4294" y="1164"/>
              <wp:lineTo x="0" y="5044"/>
              <wp:lineTo x="0" y="14745"/>
              <wp:lineTo x="2342" y="18625"/>
              <wp:lineTo x="2342" y="19013"/>
              <wp:lineTo x="6636" y="21341"/>
              <wp:lineTo x="7027" y="21341"/>
              <wp:lineTo x="14053" y="21341"/>
              <wp:lineTo x="14834" y="21341"/>
              <wp:lineTo x="18737" y="18625"/>
              <wp:lineTo x="21080" y="14745"/>
              <wp:lineTo x="21080" y="5044"/>
              <wp:lineTo x="16786" y="1164"/>
              <wp:lineTo x="14053" y="0"/>
              <wp:lineTo x="7027"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Apexus Logo_Full Color.png"/>
                  <pic:cNvPicPr/>
                </pic:nvPicPr>
                <pic:blipFill>
                  <a:blip r:embed="rId1">
                    <a:extLst>
                      <a:ext uri="{28A0092B-C50C-407E-A947-70E740481C1C}">
                        <a14:useLocalDpi xmlns:a14="http://schemas.microsoft.com/office/drawing/2010/main" val="0"/>
                      </a:ext>
                    </a:extLst>
                  </a:blip>
                  <a:stretch>
                    <a:fillRect/>
                  </a:stretch>
                </pic:blipFill>
                <pic:spPr>
                  <a:xfrm>
                    <a:off x="0" y="0"/>
                    <a:ext cx="1054100" cy="1060450"/>
                  </a:xfrm>
                  <a:prstGeom prst="rect">
                    <a:avLst/>
                  </a:prstGeom>
                </pic:spPr>
              </pic:pic>
            </a:graphicData>
          </a:graphic>
          <wp14:sizeRelH relativeFrom="page">
            <wp14:pctWidth>0</wp14:pctWidth>
          </wp14:sizeRelH>
          <wp14:sizeRelV relativeFrom="page">
            <wp14:pctHeight>0</wp14:pctHeight>
          </wp14:sizeRelV>
        </wp:anchor>
      </w:drawing>
    </w:r>
    <w:r>
      <w:rPr>
        <w:noProof/>
        <w:color w:val="696969" w:themeColor="text2"/>
        <w:sz w:val="36"/>
      </w:rPr>
      <w:t xml:space="preserve">340B University  </w:t>
    </w:r>
    <w:r>
      <w:rPr>
        <w:noProof/>
        <w:sz w:val="36"/>
      </w:rPr>
      <w:tab/>
    </w:r>
    <w:r>
      <w:rPr>
        <w:noProof/>
        <w:sz w:val="36"/>
      </w:rPr>
      <w:tab/>
    </w:r>
    <w:r w:rsidRPr="00B773C7">
      <w:rPr>
        <w:rFonts w:ascii="Arial" w:hAnsi="Arial" w:cs="Arial"/>
        <w:noProof/>
        <w:sz w:val="20"/>
      </w:rPr>
      <w:t xml:space="preserve">Page </w:t>
    </w:r>
    <w:r w:rsidRPr="00B773C7">
      <w:rPr>
        <w:rFonts w:ascii="Arial" w:hAnsi="Arial" w:cs="Arial"/>
        <w:noProof/>
        <w:sz w:val="20"/>
      </w:rPr>
      <w:fldChar w:fldCharType="begin"/>
    </w:r>
    <w:r w:rsidRPr="00B773C7">
      <w:rPr>
        <w:rFonts w:ascii="Arial" w:hAnsi="Arial" w:cs="Arial"/>
        <w:noProof/>
        <w:sz w:val="20"/>
      </w:rPr>
      <w:instrText xml:space="preserve"> PAGE   \* MERGEFORMAT </w:instrText>
    </w:r>
    <w:r w:rsidRPr="00B773C7">
      <w:rPr>
        <w:rFonts w:ascii="Arial" w:hAnsi="Arial" w:cs="Arial"/>
        <w:noProof/>
        <w:sz w:val="20"/>
      </w:rPr>
      <w:fldChar w:fldCharType="separate"/>
    </w:r>
    <w:r w:rsidR="00A7642D">
      <w:rPr>
        <w:rFonts w:ascii="Arial" w:hAnsi="Arial" w:cs="Arial"/>
        <w:noProof/>
        <w:sz w:val="20"/>
      </w:rPr>
      <w:t>1</w:t>
    </w:r>
    <w:r w:rsidRPr="00B773C7">
      <w:rPr>
        <w:rFonts w:ascii="Arial" w:hAnsi="Arial" w:cs="Arial"/>
        <w:noProof/>
        <w:sz w:val="20"/>
      </w:rPr>
      <w:fldChar w:fldCharType="end"/>
    </w:r>
  </w:p>
  <w:p w14:paraId="5D23B307" w14:textId="77777777" w:rsidR="00BD2A7F" w:rsidRDefault="00BD2A7F" w:rsidP="00637836">
    <w:pPr>
      <w:pStyle w:val="Header"/>
      <w:ind w:left="2520"/>
      <w:rPr>
        <w:noProof/>
        <w:sz w:val="32"/>
      </w:rPr>
    </w:pPr>
    <w:r>
      <w:rPr>
        <w:noProof/>
        <w:sz w:val="32"/>
      </w:rPr>
      <w:t>Defining Material Breach Documentation Tool</w:t>
    </w:r>
  </w:p>
  <w:p w14:paraId="3D97F1BA" w14:textId="77777777" w:rsidR="00BD2A7F" w:rsidRDefault="00B87BB2" w:rsidP="00637836">
    <w:pPr>
      <w:pStyle w:val="Header"/>
    </w:pPr>
    <w:r>
      <w:pict w14:anchorId="7830466A">
        <v:rect id="_x0000_i1025" style="width:422.3pt;height:5pt" o:hrpct="782" o:hralign="right" o:hrstd="t" o:hrnoshade="t" o:hr="t" fillcolor="#696969 [3215]" stroked="f"/>
      </w:pict>
    </w:r>
  </w:p>
  <w:p w14:paraId="092152C7" w14:textId="77777777" w:rsidR="00BD2A7F" w:rsidRDefault="00BD2A7F">
    <w:pPr>
      <w:pStyle w:val="Header"/>
    </w:pPr>
  </w:p>
  <w:p w14:paraId="5E71467A" w14:textId="77777777" w:rsidR="00BD2A7F" w:rsidRPr="00857736" w:rsidRDefault="00BD2A7F">
    <w:pPr>
      <w:pStyle w:val="Head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D124E8CC"/>
    <w:lvl w:ilvl="0" w:tplc="5AFE224C">
      <w:start w:val="1"/>
      <w:numFmt w:val="upperLetter"/>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0000008"/>
    <w:multiLevelType w:val="hybridMultilevel"/>
    <w:tmpl w:val="7890AF26"/>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E"/>
    <w:multiLevelType w:val="hybridMultilevel"/>
    <w:tmpl w:val="E3222886"/>
    <w:lvl w:ilvl="0" w:tplc="00000000">
      <w:start w:val="2"/>
      <w:numFmt w:val="upperRoman"/>
      <w:lvlText w:val="%1."/>
      <w:lvlJc w:val="righ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18"/>
    <w:multiLevelType w:val="hybridMultilevel"/>
    <w:tmpl w:val="EE9C8362"/>
    <w:lvl w:ilvl="0" w:tplc="00000000">
      <w:start w:val="3"/>
      <w:numFmt w:val="upperRoman"/>
      <w:lvlText w:val="%1."/>
      <w:lvlJc w:val="righ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 w15:restartNumberingAfterBreak="0">
    <w:nsid w:val="05B35C94"/>
    <w:multiLevelType w:val="hybridMultilevel"/>
    <w:tmpl w:val="C51C565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004EDB"/>
    <w:multiLevelType w:val="hybridMultilevel"/>
    <w:tmpl w:val="F7062F94"/>
    <w:lvl w:ilvl="0" w:tplc="04A815A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75BA3"/>
    <w:multiLevelType w:val="hybridMultilevel"/>
    <w:tmpl w:val="D59EA622"/>
    <w:lvl w:ilvl="0" w:tplc="D55E0600">
      <w:start w:val="1"/>
      <w:numFmt w:val="upperLetter"/>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C1CE2"/>
    <w:multiLevelType w:val="hybridMultilevel"/>
    <w:tmpl w:val="A54605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503601"/>
    <w:multiLevelType w:val="hybridMultilevel"/>
    <w:tmpl w:val="1FDA60AC"/>
    <w:lvl w:ilvl="0" w:tplc="04A815A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8400A2"/>
    <w:multiLevelType w:val="hybridMultilevel"/>
    <w:tmpl w:val="F6DCF2A6"/>
    <w:lvl w:ilvl="0" w:tplc="04090005">
      <w:start w:val="1"/>
      <w:numFmt w:val="bullet"/>
      <w:lvlText w:val=""/>
      <w:lvlJc w:val="left"/>
      <w:pPr>
        <w:ind w:left="720" w:hanging="360"/>
      </w:pPr>
      <w:rPr>
        <w:rFonts w:ascii="Wingdings" w:hAnsi="Wingdings" w:hint="default"/>
      </w:rPr>
    </w:lvl>
    <w:lvl w:ilvl="1" w:tplc="447A47D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F003C6"/>
    <w:multiLevelType w:val="hybridMultilevel"/>
    <w:tmpl w:val="D84EA4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B44988"/>
    <w:multiLevelType w:val="hybridMultilevel"/>
    <w:tmpl w:val="2EFE3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6798B"/>
    <w:multiLevelType w:val="hybridMultilevel"/>
    <w:tmpl w:val="3804742C"/>
    <w:lvl w:ilvl="0" w:tplc="A074F1A0">
      <w:start w:val="5"/>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64547D"/>
    <w:multiLevelType w:val="hybridMultilevel"/>
    <w:tmpl w:val="13E0BF7C"/>
    <w:lvl w:ilvl="0" w:tplc="148C85C4">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D04057"/>
    <w:multiLevelType w:val="hybridMultilevel"/>
    <w:tmpl w:val="5AEC97A4"/>
    <w:lvl w:ilvl="0" w:tplc="04090001">
      <w:start w:val="1"/>
      <w:numFmt w:val="bullet"/>
      <w:lvlText w:val=""/>
      <w:lvlJc w:val="left"/>
      <w:pPr>
        <w:ind w:left="720" w:hanging="360"/>
      </w:pPr>
      <w:rPr>
        <w:rFonts w:ascii="Symbol" w:hAnsi="Symbol" w:hint="default"/>
        <w:b w:val="0"/>
        <w:i w:val="0"/>
      </w:rPr>
    </w:lvl>
    <w:lvl w:ilvl="1" w:tplc="FFFFFFFF">
      <w:start w:val="1"/>
      <w:numFmt w:val="lowerLetter"/>
      <w:lvlText w:val="%2."/>
      <w:lvlJc w:val="left"/>
      <w:pPr>
        <w:ind w:left="1440" w:hanging="360"/>
      </w:pPr>
      <w:rPr>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980E9B"/>
    <w:multiLevelType w:val="hybridMultilevel"/>
    <w:tmpl w:val="E64C9EEA"/>
    <w:lvl w:ilvl="0" w:tplc="04A815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D9269A"/>
    <w:multiLevelType w:val="hybridMultilevel"/>
    <w:tmpl w:val="22101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1796E"/>
    <w:multiLevelType w:val="hybridMultilevel"/>
    <w:tmpl w:val="7E9A6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56482"/>
    <w:multiLevelType w:val="hybridMultilevel"/>
    <w:tmpl w:val="10CCD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AD176E"/>
    <w:multiLevelType w:val="hybridMultilevel"/>
    <w:tmpl w:val="F7A2B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EA1B4E"/>
    <w:multiLevelType w:val="hybridMultilevel"/>
    <w:tmpl w:val="536CB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2E2A4A"/>
    <w:multiLevelType w:val="hybridMultilevel"/>
    <w:tmpl w:val="67BAB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3131A"/>
    <w:multiLevelType w:val="hybridMultilevel"/>
    <w:tmpl w:val="84868B7A"/>
    <w:lvl w:ilvl="0" w:tplc="A080E168">
      <w:start w:val="1"/>
      <w:numFmt w:val="decimal"/>
      <w:lvlText w:val="%1."/>
      <w:lvlJc w:val="left"/>
      <w:pPr>
        <w:ind w:left="720" w:hanging="360"/>
      </w:pPr>
      <w:rPr>
        <w:b w:val="0"/>
        <w:i w:val="0"/>
      </w:rPr>
    </w:lvl>
    <w:lvl w:ilvl="1" w:tplc="43DEF2E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247711"/>
    <w:multiLevelType w:val="hybridMultilevel"/>
    <w:tmpl w:val="50FE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5343DA"/>
    <w:multiLevelType w:val="hybridMultilevel"/>
    <w:tmpl w:val="88AA4CB0"/>
    <w:lvl w:ilvl="0" w:tplc="1B3C45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425F69"/>
    <w:multiLevelType w:val="hybridMultilevel"/>
    <w:tmpl w:val="F37EC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7F24A0"/>
    <w:multiLevelType w:val="hybridMultilevel"/>
    <w:tmpl w:val="6B867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E94BDC"/>
    <w:multiLevelType w:val="hybridMultilevel"/>
    <w:tmpl w:val="E3222886"/>
    <w:lvl w:ilvl="0" w:tplc="00000000">
      <w:start w:val="2"/>
      <w:numFmt w:val="upperRoman"/>
      <w:lvlText w:val="%1."/>
      <w:lvlJc w:val="righ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8" w15:restartNumberingAfterBreak="0">
    <w:nsid w:val="4B7758AA"/>
    <w:multiLevelType w:val="hybridMultilevel"/>
    <w:tmpl w:val="777EA3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345331"/>
    <w:multiLevelType w:val="hybridMultilevel"/>
    <w:tmpl w:val="6778C570"/>
    <w:lvl w:ilvl="0" w:tplc="447A47D0">
      <w:start w:val="1"/>
      <w:numFmt w:val="bullet"/>
      <w:lvlText w:val=""/>
      <w:lvlJc w:val="left"/>
      <w:pPr>
        <w:ind w:left="720" w:hanging="360"/>
      </w:pPr>
      <w:rPr>
        <w:rFonts w:ascii="Symbol" w:hAnsi="Symbol" w:hint="default"/>
      </w:rPr>
    </w:lvl>
    <w:lvl w:ilvl="1" w:tplc="447A47D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859E0"/>
    <w:multiLevelType w:val="hybridMultilevel"/>
    <w:tmpl w:val="0BFC05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35F1A98"/>
    <w:multiLevelType w:val="hybridMultilevel"/>
    <w:tmpl w:val="84868B7A"/>
    <w:lvl w:ilvl="0" w:tplc="A080E168">
      <w:start w:val="1"/>
      <w:numFmt w:val="decimal"/>
      <w:lvlText w:val="%1."/>
      <w:lvlJc w:val="left"/>
      <w:pPr>
        <w:ind w:left="720" w:hanging="360"/>
      </w:pPr>
      <w:rPr>
        <w:b w:val="0"/>
        <w:i w:val="0"/>
      </w:rPr>
    </w:lvl>
    <w:lvl w:ilvl="1" w:tplc="43DEF2E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9A725C"/>
    <w:multiLevelType w:val="hybridMultilevel"/>
    <w:tmpl w:val="F2BCA13C"/>
    <w:lvl w:ilvl="0" w:tplc="04A815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EA3EEE"/>
    <w:multiLevelType w:val="hybridMultilevel"/>
    <w:tmpl w:val="C33678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C61260"/>
    <w:multiLevelType w:val="hybridMultilevel"/>
    <w:tmpl w:val="26D2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CF26E4"/>
    <w:multiLevelType w:val="hybridMultilevel"/>
    <w:tmpl w:val="6C74F6EA"/>
    <w:lvl w:ilvl="0" w:tplc="04090001">
      <w:start w:val="1"/>
      <w:numFmt w:val="bullet"/>
      <w:lvlText w:val=""/>
      <w:lvlJc w:val="left"/>
      <w:pPr>
        <w:ind w:left="360" w:hanging="360"/>
      </w:pPr>
      <w:rPr>
        <w:rFonts w:ascii="Symbol" w:hAnsi="Symbol" w:hint="default"/>
        <w:b w:val="0"/>
        <w:i w:val="0"/>
      </w:rPr>
    </w:lvl>
    <w:lvl w:ilvl="1" w:tplc="FFFFFFFF">
      <w:start w:val="1"/>
      <w:numFmt w:val="lowerLetter"/>
      <w:lvlText w:val="%2."/>
      <w:lvlJc w:val="left"/>
      <w:pPr>
        <w:ind w:left="1080" w:hanging="360"/>
      </w:pPr>
      <w:rPr>
        <w:b w:val="0"/>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42B141F"/>
    <w:multiLevelType w:val="hybridMultilevel"/>
    <w:tmpl w:val="4F921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704376"/>
    <w:multiLevelType w:val="hybridMultilevel"/>
    <w:tmpl w:val="7D22192E"/>
    <w:lvl w:ilvl="0" w:tplc="13A045F8">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462689"/>
    <w:multiLevelType w:val="hybridMultilevel"/>
    <w:tmpl w:val="3F32C1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8C34DE5"/>
    <w:multiLevelType w:val="hybridMultilevel"/>
    <w:tmpl w:val="309631DA"/>
    <w:lvl w:ilvl="0" w:tplc="0409000F">
      <w:start w:val="1"/>
      <w:numFmt w:val="decimal"/>
      <w:lvlText w:val="%1."/>
      <w:lvlJc w:val="left"/>
      <w:pPr>
        <w:ind w:left="1573" w:hanging="360"/>
      </w:pPr>
    </w:lvl>
    <w:lvl w:ilvl="1" w:tplc="04090019" w:tentative="1">
      <w:start w:val="1"/>
      <w:numFmt w:val="lowerLetter"/>
      <w:lvlText w:val="%2."/>
      <w:lvlJc w:val="left"/>
      <w:pPr>
        <w:ind w:left="2293" w:hanging="360"/>
      </w:pPr>
    </w:lvl>
    <w:lvl w:ilvl="2" w:tplc="0409001B" w:tentative="1">
      <w:start w:val="1"/>
      <w:numFmt w:val="lowerRoman"/>
      <w:lvlText w:val="%3."/>
      <w:lvlJc w:val="right"/>
      <w:pPr>
        <w:ind w:left="3013" w:hanging="180"/>
      </w:pPr>
    </w:lvl>
    <w:lvl w:ilvl="3" w:tplc="0409000F" w:tentative="1">
      <w:start w:val="1"/>
      <w:numFmt w:val="decimal"/>
      <w:lvlText w:val="%4."/>
      <w:lvlJc w:val="left"/>
      <w:pPr>
        <w:ind w:left="3733" w:hanging="360"/>
      </w:pPr>
    </w:lvl>
    <w:lvl w:ilvl="4" w:tplc="04090019" w:tentative="1">
      <w:start w:val="1"/>
      <w:numFmt w:val="lowerLetter"/>
      <w:lvlText w:val="%5."/>
      <w:lvlJc w:val="left"/>
      <w:pPr>
        <w:ind w:left="4453" w:hanging="360"/>
      </w:pPr>
    </w:lvl>
    <w:lvl w:ilvl="5" w:tplc="0409001B" w:tentative="1">
      <w:start w:val="1"/>
      <w:numFmt w:val="lowerRoman"/>
      <w:lvlText w:val="%6."/>
      <w:lvlJc w:val="right"/>
      <w:pPr>
        <w:ind w:left="5173" w:hanging="180"/>
      </w:pPr>
    </w:lvl>
    <w:lvl w:ilvl="6" w:tplc="0409000F" w:tentative="1">
      <w:start w:val="1"/>
      <w:numFmt w:val="decimal"/>
      <w:lvlText w:val="%7."/>
      <w:lvlJc w:val="left"/>
      <w:pPr>
        <w:ind w:left="5893" w:hanging="360"/>
      </w:pPr>
    </w:lvl>
    <w:lvl w:ilvl="7" w:tplc="04090019" w:tentative="1">
      <w:start w:val="1"/>
      <w:numFmt w:val="lowerLetter"/>
      <w:lvlText w:val="%8."/>
      <w:lvlJc w:val="left"/>
      <w:pPr>
        <w:ind w:left="6613" w:hanging="360"/>
      </w:pPr>
    </w:lvl>
    <w:lvl w:ilvl="8" w:tplc="0409001B" w:tentative="1">
      <w:start w:val="1"/>
      <w:numFmt w:val="lowerRoman"/>
      <w:lvlText w:val="%9."/>
      <w:lvlJc w:val="right"/>
      <w:pPr>
        <w:ind w:left="7333" w:hanging="180"/>
      </w:pPr>
    </w:lvl>
  </w:abstractNum>
  <w:abstractNum w:abstractNumId="40" w15:restartNumberingAfterBreak="0">
    <w:nsid w:val="70A70468"/>
    <w:multiLevelType w:val="hybridMultilevel"/>
    <w:tmpl w:val="79B47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85720363">
    <w:abstractNumId w:val="18"/>
  </w:num>
  <w:num w:numId="2" w16cid:durableId="435835670">
    <w:abstractNumId w:val="38"/>
  </w:num>
  <w:num w:numId="3" w16cid:durableId="1478575469">
    <w:abstractNumId w:val="28"/>
  </w:num>
  <w:num w:numId="4" w16cid:durableId="1615289221">
    <w:abstractNumId w:val="4"/>
  </w:num>
  <w:num w:numId="5" w16cid:durableId="429739206">
    <w:abstractNumId w:val="25"/>
  </w:num>
  <w:num w:numId="6" w16cid:durableId="210845909">
    <w:abstractNumId w:val="23"/>
  </w:num>
  <w:num w:numId="7" w16cid:durableId="156775668">
    <w:abstractNumId w:val="9"/>
  </w:num>
  <w:num w:numId="8" w16cid:durableId="1396776881">
    <w:abstractNumId w:val="29"/>
  </w:num>
  <w:num w:numId="9" w16cid:durableId="862673671">
    <w:abstractNumId w:val="33"/>
  </w:num>
  <w:num w:numId="10" w16cid:durableId="501510104">
    <w:abstractNumId w:val="11"/>
  </w:num>
  <w:num w:numId="11" w16cid:durableId="555314140">
    <w:abstractNumId w:val="36"/>
  </w:num>
  <w:num w:numId="12" w16cid:durableId="663824648">
    <w:abstractNumId w:val="5"/>
  </w:num>
  <w:num w:numId="13" w16cid:durableId="923608471">
    <w:abstractNumId w:val="32"/>
  </w:num>
  <w:num w:numId="14" w16cid:durableId="2034989106">
    <w:abstractNumId w:val="15"/>
  </w:num>
  <w:num w:numId="15" w16cid:durableId="2058049215">
    <w:abstractNumId w:val="8"/>
  </w:num>
  <w:num w:numId="16" w16cid:durableId="1736316312">
    <w:abstractNumId w:val="26"/>
  </w:num>
  <w:num w:numId="17" w16cid:durableId="419059319">
    <w:abstractNumId w:val="16"/>
  </w:num>
  <w:num w:numId="18" w16cid:durableId="638614026">
    <w:abstractNumId w:val="6"/>
  </w:num>
  <w:num w:numId="19" w16cid:durableId="1921719543">
    <w:abstractNumId w:val="10"/>
  </w:num>
  <w:num w:numId="20" w16cid:durableId="771634981">
    <w:abstractNumId w:val="0"/>
  </w:num>
  <w:num w:numId="21" w16cid:durableId="1752727445">
    <w:abstractNumId w:val="2"/>
  </w:num>
  <w:num w:numId="22" w16cid:durableId="379943843">
    <w:abstractNumId w:val="3"/>
  </w:num>
  <w:num w:numId="23" w16cid:durableId="1892961857">
    <w:abstractNumId w:val="13"/>
  </w:num>
  <w:num w:numId="24" w16cid:durableId="861437028">
    <w:abstractNumId w:val="1"/>
  </w:num>
  <w:num w:numId="25" w16cid:durableId="517810385">
    <w:abstractNumId w:val="31"/>
  </w:num>
  <w:num w:numId="26" w16cid:durableId="1024941368">
    <w:abstractNumId w:val="19"/>
  </w:num>
  <w:num w:numId="27" w16cid:durableId="1695383004">
    <w:abstractNumId w:val="30"/>
  </w:num>
  <w:num w:numId="28" w16cid:durableId="1368800378">
    <w:abstractNumId w:val="39"/>
  </w:num>
  <w:num w:numId="29" w16cid:durableId="70859132">
    <w:abstractNumId w:val="37"/>
  </w:num>
  <w:num w:numId="30" w16cid:durableId="466824950">
    <w:abstractNumId w:val="24"/>
  </w:num>
  <w:num w:numId="31" w16cid:durableId="17352012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856448">
    <w:abstractNumId w:val="20"/>
  </w:num>
  <w:num w:numId="33" w16cid:durableId="1884899481">
    <w:abstractNumId w:val="21"/>
  </w:num>
  <w:num w:numId="34" w16cid:durableId="1890333816">
    <w:abstractNumId w:val="27"/>
  </w:num>
  <w:num w:numId="35" w16cid:durableId="652830822">
    <w:abstractNumId w:val="12"/>
  </w:num>
  <w:num w:numId="36" w16cid:durableId="588541907">
    <w:abstractNumId w:val="22"/>
  </w:num>
  <w:num w:numId="37" w16cid:durableId="2062754071">
    <w:abstractNumId w:val="14"/>
  </w:num>
  <w:num w:numId="38" w16cid:durableId="775364451">
    <w:abstractNumId w:val="34"/>
  </w:num>
  <w:num w:numId="39" w16cid:durableId="317076050">
    <w:abstractNumId w:val="17"/>
  </w:num>
  <w:num w:numId="40" w16cid:durableId="1998875605">
    <w:abstractNumId w:val="7"/>
  </w:num>
  <w:num w:numId="41" w16cid:durableId="1140657400">
    <w:abstractNumId w:val="35"/>
  </w:num>
  <w:num w:numId="42" w16cid:durableId="22557880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yNzIzNzWyNDQzNTdX0lEKTi0uzszPAykwqgUAAJOU9CwAAAA="/>
    <w:docVar w:name="dgnword-docGUID" w:val="{4ACFDC60-1BB7-465E-9AE8-FBE28D5A8054}"/>
    <w:docVar w:name="dgnword-eventsink" w:val="256570512"/>
  </w:docVars>
  <w:rsids>
    <w:rsidRoot w:val="00B773C7"/>
    <w:rsid w:val="00000DC5"/>
    <w:rsid w:val="0000175C"/>
    <w:rsid w:val="00021282"/>
    <w:rsid w:val="00030051"/>
    <w:rsid w:val="00037616"/>
    <w:rsid w:val="00045F90"/>
    <w:rsid w:val="000659CF"/>
    <w:rsid w:val="00066DD3"/>
    <w:rsid w:val="0007066E"/>
    <w:rsid w:val="00086EF1"/>
    <w:rsid w:val="00090E53"/>
    <w:rsid w:val="00097203"/>
    <w:rsid w:val="000A0740"/>
    <w:rsid w:val="000A4942"/>
    <w:rsid w:val="000A7416"/>
    <w:rsid w:val="000C005A"/>
    <w:rsid w:val="000C29CA"/>
    <w:rsid w:val="000D3173"/>
    <w:rsid w:val="000E0E4E"/>
    <w:rsid w:val="000E1774"/>
    <w:rsid w:val="000E2BD5"/>
    <w:rsid w:val="000E35BF"/>
    <w:rsid w:val="000E3D73"/>
    <w:rsid w:val="000F5A47"/>
    <w:rsid w:val="00102CE5"/>
    <w:rsid w:val="00105BA8"/>
    <w:rsid w:val="00131FE5"/>
    <w:rsid w:val="00140D9C"/>
    <w:rsid w:val="00142F95"/>
    <w:rsid w:val="00146D20"/>
    <w:rsid w:val="00150406"/>
    <w:rsid w:val="00162212"/>
    <w:rsid w:val="00162516"/>
    <w:rsid w:val="00181CE5"/>
    <w:rsid w:val="00183FE4"/>
    <w:rsid w:val="00191ED1"/>
    <w:rsid w:val="00195C0C"/>
    <w:rsid w:val="0019635F"/>
    <w:rsid w:val="00197F3A"/>
    <w:rsid w:val="001A1A52"/>
    <w:rsid w:val="001A22D5"/>
    <w:rsid w:val="001A4053"/>
    <w:rsid w:val="001B565A"/>
    <w:rsid w:val="001D5B23"/>
    <w:rsid w:val="001E3B58"/>
    <w:rsid w:val="001F636C"/>
    <w:rsid w:val="00263827"/>
    <w:rsid w:val="00265500"/>
    <w:rsid w:val="0026689D"/>
    <w:rsid w:val="00267731"/>
    <w:rsid w:val="00270F57"/>
    <w:rsid w:val="00275DD6"/>
    <w:rsid w:val="00284A5F"/>
    <w:rsid w:val="002943DC"/>
    <w:rsid w:val="002957FB"/>
    <w:rsid w:val="002A3982"/>
    <w:rsid w:val="002A5D7E"/>
    <w:rsid w:val="002A6719"/>
    <w:rsid w:val="002B0867"/>
    <w:rsid w:val="002B1008"/>
    <w:rsid w:val="002B2034"/>
    <w:rsid w:val="002B2B37"/>
    <w:rsid w:val="002B47E1"/>
    <w:rsid w:val="002C3BAA"/>
    <w:rsid w:val="002C3F01"/>
    <w:rsid w:val="002D75A9"/>
    <w:rsid w:val="002E3DB1"/>
    <w:rsid w:val="002F1517"/>
    <w:rsid w:val="00300E69"/>
    <w:rsid w:val="00305F84"/>
    <w:rsid w:val="003231D2"/>
    <w:rsid w:val="00327CBE"/>
    <w:rsid w:val="00330670"/>
    <w:rsid w:val="003315BE"/>
    <w:rsid w:val="00333F9A"/>
    <w:rsid w:val="003354F5"/>
    <w:rsid w:val="00346922"/>
    <w:rsid w:val="00351EDB"/>
    <w:rsid w:val="00357FB3"/>
    <w:rsid w:val="0036426E"/>
    <w:rsid w:val="00364CEB"/>
    <w:rsid w:val="003668EE"/>
    <w:rsid w:val="00380C9C"/>
    <w:rsid w:val="00384D6A"/>
    <w:rsid w:val="00387F78"/>
    <w:rsid w:val="003C174F"/>
    <w:rsid w:val="003C468D"/>
    <w:rsid w:val="003D23C5"/>
    <w:rsid w:val="003D6099"/>
    <w:rsid w:val="003E0213"/>
    <w:rsid w:val="003F7E74"/>
    <w:rsid w:val="004012C6"/>
    <w:rsid w:val="00404C15"/>
    <w:rsid w:val="00407E6C"/>
    <w:rsid w:val="004139C7"/>
    <w:rsid w:val="00422AE3"/>
    <w:rsid w:val="0043001F"/>
    <w:rsid w:val="0044376B"/>
    <w:rsid w:val="00463FDC"/>
    <w:rsid w:val="00466ABC"/>
    <w:rsid w:val="00467440"/>
    <w:rsid w:val="004678F4"/>
    <w:rsid w:val="00482A12"/>
    <w:rsid w:val="00483327"/>
    <w:rsid w:val="00492546"/>
    <w:rsid w:val="00493085"/>
    <w:rsid w:val="004A2B59"/>
    <w:rsid w:val="004A41CA"/>
    <w:rsid w:val="004A6F5F"/>
    <w:rsid w:val="004B2CE8"/>
    <w:rsid w:val="004C256D"/>
    <w:rsid w:val="004C4BA8"/>
    <w:rsid w:val="004C7D54"/>
    <w:rsid w:val="004E5102"/>
    <w:rsid w:val="0050040C"/>
    <w:rsid w:val="00503EC5"/>
    <w:rsid w:val="00505B26"/>
    <w:rsid w:val="00521219"/>
    <w:rsid w:val="00523529"/>
    <w:rsid w:val="0053539E"/>
    <w:rsid w:val="00550491"/>
    <w:rsid w:val="00552AF6"/>
    <w:rsid w:val="00552CE5"/>
    <w:rsid w:val="00562D56"/>
    <w:rsid w:val="00565FA5"/>
    <w:rsid w:val="00574181"/>
    <w:rsid w:val="005971DA"/>
    <w:rsid w:val="005977F1"/>
    <w:rsid w:val="00597BA2"/>
    <w:rsid w:val="005A1C94"/>
    <w:rsid w:val="005A2018"/>
    <w:rsid w:val="005A23DF"/>
    <w:rsid w:val="005B228A"/>
    <w:rsid w:val="005B3F5B"/>
    <w:rsid w:val="005B56B9"/>
    <w:rsid w:val="005C03A7"/>
    <w:rsid w:val="005C5D22"/>
    <w:rsid w:val="005D05FE"/>
    <w:rsid w:val="005D3A06"/>
    <w:rsid w:val="005D5F63"/>
    <w:rsid w:val="005F088A"/>
    <w:rsid w:val="005F2EAC"/>
    <w:rsid w:val="00612896"/>
    <w:rsid w:val="00616A88"/>
    <w:rsid w:val="00637836"/>
    <w:rsid w:val="00641012"/>
    <w:rsid w:val="00652FD4"/>
    <w:rsid w:val="00654205"/>
    <w:rsid w:val="006563BE"/>
    <w:rsid w:val="006579F9"/>
    <w:rsid w:val="0066389B"/>
    <w:rsid w:val="00671612"/>
    <w:rsid w:val="006716F7"/>
    <w:rsid w:val="0067198C"/>
    <w:rsid w:val="0067318D"/>
    <w:rsid w:val="0067792A"/>
    <w:rsid w:val="0068280F"/>
    <w:rsid w:val="006A215F"/>
    <w:rsid w:val="006A79F9"/>
    <w:rsid w:val="006B1068"/>
    <w:rsid w:val="006C2669"/>
    <w:rsid w:val="006E61FF"/>
    <w:rsid w:val="006F64CF"/>
    <w:rsid w:val="0070435B"/>
    <w:rsid w:val="00722CF7"/>
    <w:rsid w:val="00727955"/>
    <w:rsid w:val="007342B2"/>
    <w:rsid w:val="00735C15"/>
    <w:rsid w:val="00742BF8"/>
    <w:rsid w:val="007554D1"/>
    <w:rsid w:val="007640FE"/>
    <w:rsid w:val="007644EF"/>
    <w:rsid w:val="0076648F"/>
    <w:rsid w:val="00774E76"/>
    <w:rsid w:val="0077634F"/>
    <w:rsid w:val="00782EF8"/>
    <w:rsid w:val="0078718F"/>
    <w:rsid w:val="007A41A3"/>
    <w:rsid w:val="007B2C65"/>
    <w:rsid w:val="007D0894"/>
    <w:rsid w:val="007F6819"/>
    <w:rsid w:val="0080086B"/>
    <w:rsid w:val="00805B53"/>
    <w:rsid w:val="00807CC3"/>
    <w:rsid w:val="00820025"/>
    <w:rsid w:val="00823546"/>
    <w:rsid w:val="00825707"/>
    <w:rsid w:val="0083329E"/>
    <w:rsid w:val="00833645"/>
    <w:rsid w:val="00837C94"/>
    <w:rsid w:val="0084103D"/>
    <w:rsid w:val="00857736"/>
    <w:rsid w:val="00862BEF"/>
    <w:rsid w:val="00863E8F"/>
    <w:rsid w:val="0086478C"/>
    <w:rsid w:val="0086506D"/>
    <w:rsid w:val="00865E7B"/>
    <w:rsid w:val="00875C24"/>
    <w:rsid w:val="008924B5"/>
    <w:rsid w:val="008A1731"/>
    <w:rsid w:val="008A253B"/>
    <w:rsid w:val="008B3DE9"/>
    <w:rsid w:val="008B4A17"/>
    <w:rsid w:val="008C2D78"/>
    <w:rsid w:val="008C46EA"/>
    <w:rsid w:val="008C657F"/>
    <w:rsid w:val="008D0AA6"/>
    <w:rsid w:val="008D0B99"/>
    <w:rsid w:val="008F02D0"/>
    <w:rsid w:val="008F2B0B"/>
    <w:rsid w:val="00902B3C"/>
    <w:rsid w:val="00916D2D"/>
    <w:rsid w:val="009278A2"/>
    <w:rsid w:val="00934BC4"/>
    <w:rsid w:val="00942456"/>
    <w:rsid w:val="00942EBD"/>
    <w:rsid w:val="00947EA9"/>
    <w:rsid w:val="00984D24"/>
    <w:rsid w:val="009872DE"/>
    <w:rsid w:val="009A0BE0"/>
    <w:rsid w:val="009A342F"/>
    <w:rsid w:val="009B1063"/>
    <w:rsid w:val="009C1D4E"/>
    <w:rsid w:val="009C3E75"/>
    <w:rsid w:val="009C5780"/>
    <w:rsid w:val="009D0FD2"/>
    <w:rsid w:val="009D3E1C"/>
    <w:rsid w:val="009E0343"/>
    <w:rsid w:val="009E396E"/>
    <w:rsid w:val="009E4145"/>
    <w:rsid w:val="009E76E7"/>
    <w:rsid w:val="00A10BF0"/>
    <w:rsid w:val="00A1433B"/>
    <w:rsid w:val="00A2434E"/>
    <w:rsid w:val="00A24FBA"/>
    <w:rsid w:val="00A433C9"/>
    <w:rsid w:val="00A43D9B"/>
    <w:rsid w:val="00A47320"/>
    <w:rsid w:val="00A6126E"/>
    <w:rsid w:val="00A7642D"/>
    <w:rsid w:val="00A86F5F"/>
    <w:rsid w:val="00A93798"/>
    <w:rsid w:val="00A95661"/>
    <w:rsid w:val="00AA351D"/>
    <w:rsid w:val="00AA530A"/>
    <w:rsid w:val="00AB5154"/>
    <w:rsid w:val="00AC2BDA"/>
    <w:rsid w:val="00AC36B6"/>
    <w:rsid w:val="00AC4031"/>
    <w:rsid w:val="00AC40CA"/>
    <w:rsid w:val="00AC474D"/>
    <w:rsid w:val="00AC5317"/>
    <w:rsid w:val="00AC5DCB"/>
    <w:rsid w:val="00AD264C"/>
    <w:rsid w:val="00AD356F"/>
    <w:rsid w:val="00AD5136"/>
    <w:rsid w:val="00AE2377"/>
    <w:rsid w:val="00AE442C"/>
    <w:rsid w:val="00AE5C4F"/>
    <w:rsid w:val="00AF0B1F"/>
    <w:rsid w:val="00AF659A"/>
    <w:rsid w:val="00B01EE4"/>
    <w:rsid w:val="00B02A24"/>
    <w:rsid w:val="00B13221"/>
    <w:rsid w:val="00B14371"/>
    <w:rsid w:val="00B152AE"/>
    <w:rsid w:val="00B21A94"/>
    <w:rsid w:val="00B239EB"/>
    <w:rsid w:val="00B34557"/>
    <w:rsid w:val="00B35294"/>
    <w:rsid w:val="00B366C2"/>
    <w:rsid w:val="00B37BDE"/>
    <w:rsid w:val="00B4008E"/>
    <w:rsid w:val="00B44FD2"/>
    <w:rsid w:val="00B508DE"/>
    <w:rsid w:val="00B509FF"/>
    <w:rsid w:val="00B53C0A"/>
    <w:rsid w:val="00B56CB2"/>
    <w:rsid w:val="00B630C7"/>
    <w:rsid w:val="00B773C7"/>
    <w:rsid w:val="00B87BB2"/>
    <w:rsid w:val="00B93054"/>
    <w:rsid w:val="00B97EB2"/>
    <w:rsid w:val="00BA05F2"/>
    <w:rsid w:val="00BA49F8"/>
    <w:rsid w:val="00BA521E"/>
    <w:rsid w:val="00BB1C83"/>
    <w:rsid w:val="00BD2A7F"/>
    <w:rsid w:val="00BE311C"/>
    <w:rsid w:val="00BF0605"/>
    <w:rsid w:val="00BF51B5"/>
    <w:rsid w:val="00C06B72"/>
    <w:rsid w:val="00C06C26"/>
    <w:rsid w:val="00C110DF"/>
    <w:rsid w:val="00C145E8"/>
    <w:rsid w:val="00C210B2"/>
    <w:rsid w:val="00C24D07"/>
    <w:rsid w:val="00C3616E"/>
    <w:rsid w:val="00C36508"/>
    <w:rsid w:val="00C52905"/>
    <w:rsid w:val="00C539A3"/>
    <w:rsid w:val="00C574B8"/>
    <w:rsid w:val="00C62D0D"/>
    <w:rsid w:val="00C66B59"/>
    <w:rsid w:val="00C80FFD"/>
    <w:rsid w:val="00C9363C"/>
    <w:rsid w:val="00C9383F"/>
    <w:rsid w:val="00C9488B"/>
    <w:rsid w:val="00C97FB0"/>
    <w:rsid w:val="00CC504B"/>
    <w:rsid w:val="00CD3EA4"/>
    <w:rsid w:val="00CE04D2"/>
    <w:rsid w:val="00CE7F10"/>
    <w:rsid w:val="00CF0834"/>
    <w:rsid w:val="00CF4430"/>
    <w:rsid w:val="00D05FBC"/>
    <w:rsid w:val="00D073D7"/>
    <w:rsid w:val="00D11D6D"/>
    <w:rsid w:val="00D21125"/>
    <w:rsid w:val="00D27086"/>
    <w:rsid w:val="00D36B78"/>
    <w:rsid w:val="00D445D1"/>
    <w:rsid w:val="00D53802"/>
    <w:rsid w:val="00D56805"/>
    <w:rsid w:val="00D66158"/>
    <w:rsid w:val="00D8302B"/>
    <w:rsid w:val="00D87474"/>
    <w:rsid w:val="00D96581"/>
    <w:rsid w:val="00DA4EEE"/>
    <w:rsid w:val="00DB3E5B"/>
    <w:rsid w:val="00DB7331"/>
    <w:rsid w:val="00DC295B"/>
    <w:rsid w:val="00DC2E86"/>
    <w:rsid w:val="00DD6DEE"/>
    <w:rsid w:val="00DD6E8B"/>
    <w:rsid w:val="00DF5E13"/>
    <w:rsid w:val="00E057FB"/>
    <w:rsid w:val="00E10CA6"/>
    <w:rsid w:val="00E13215"/>
    <w:rsid w:val="00E22989"/>
    <w:rsid w:val="00E35A4B"/>
    <w:rsid w:val="00E40278"/>
    <w:rsid w:val="00E407BE"/>
    <w:rsid w:val="00E43967"/>
    <w:rsid w:val="00E510A5"/>
    <w:rsid w:val="00E646BB"/>
    <w:rsid w:val="00E652E0"/>
    <w:rsid w:val="00E660E7"/>
    <w:rsid w:val="00E9696C"/>
    <w:rsid w:val="00EA412B"/>
    <w:rsid w:val="00EA6813"/>
    <w:rsid w:val="00EC5813"/>
    <w:rsid w:val="00ED409F"/>
    <w:rsid w:val="00F03524"/>
    <w:rsid w:val="00F20313"/>
    <w:rsid w:val="00F22D44"/>
    <w:rsid w:val="00F306B7"/>
    <w:rsid w:val="00F33658"/>
    <w:rsid w:val="00F434B1"/>
    <w:rsid w:val="00F43816"/>
    <w:rsid w:val="00F52CD1"/>
    <w:rsid w:val="00F557C9"/>
    <w:rsid w:val="00F5781A"/>
    <w:rsid w:val="00F6152F"/>
    <w:rsid w:val="00F77DDA"/>
    <w:rsid w:val="00F96A04"/>
    <w:rsid w:val="00FA5CB9"/>
    <w:rsid w:val="00FC2D28"/>
    <w:rsid w:val="00FC3449"/>
    <w:rsid w:val="00FC56F8"/>
    <w:rsid w:val="00FF4E77"/>
    <w:rsid w:val="163F37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49EEF"/>
  <w15:docId w15:val="{EAB9A786-FC54-488B-8E6B-77AB8100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557"/>
    <w:pPr>
      <w:spacing w:after="0" w:line="240" w:lineRule="auto"/>
    </w:pPr>
  </w:style>
  <w:style w:type="paragraph" w:styleId="Heading1">
    <w:name w:val="heading 1"/>
    <w:basedOn w:val="Normal"/>
    <w:next w:val="Normal"/>
    <w:link w:val="Heading1Char"/>
    <w:uiPriority w:val="9"/>
    <w:qFormat/>
    <w:rsid w:val="00270F57"/>
    <w:pPr>
      <w:keepNext/>
      <w:keepLines/>
      <w:spacing w:before="240"/>
      <w:outlineLvl w:val="0"/>
    </w:pPr>
    <w:rPr>
      <w:rFonts w:asciiTheme="majorHAnsi" w:eastAsiaTheme="majorEastAsia" w:hAnsiTheme="majorHAnsi" w:cstheme="majorBidi"/>
      <w:color w:val="001D60" w:themeColor="accent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3C7"/>
    <w:pPr>
      <w:tabs>
        <w:tab w:val="center" w:pos="4680"/>
        <w:tab w:val="right" w:pos="9360"/>
      </w:tabs>
    </w:pPr>
  </w:style>
  <w:style w:type="character" w:customStyle="1" w:styleId="HeaderChar">
    <w:name w:val="Header Char"/>
    <w:basedOn w:val="DefaultParagraphFont"/>
    <w:link w:val="Header"/>
    <w:uiPriority w:val="99"/>
    <w:rsid w:val="00B773C7"/>
  </w:style>
  <w:style w:type="paragraph" w:styleId="Footer">
    <w:name w:val="footer"/>
    <w:basedOn w:val="Normal"/>
    <w:link w:val="FooterChar"/>
    <w:uiPriority w:val="99"/>
    <w:unhideWhenUsed/>
    <w:rsid w:val="00B773C7"/>
    <w:pPr>
      <w:tabs>
        <w:tab w:val="center" w:pos="4680"/>
        <w:tab w:val="right" w:pos="9360"/>
      </w:tabs>
    </w:pPr>
  </w:style>
  <w:style w:type="character" w:customStyle="1" w:styleId="FooterChar">
    <w:name w:val="Footer Char"/>
    <w:basedOn w:val="DefaultParagraphFont"/>
    <w:link w:val="Footer"/>
    <w:uiPriority w:val="99"/>
    <w:rsid w:val="00B773C7"/>
  </w:style>
  <w:style w:type="character" w:styleId="Hyperlink">
    <w:name w:val="Hyperlink"/>
    <w:basedOn w:val="DefaultParagraphFont"/>
    <w:uiPriority w:val="99"/>
    <w:unhideWhenUsed/>
    <w:rsid w:val="00B773C7"/>
    <w:rPr>
      <w:color w:val="0CA0DB" w:themeColor="hyperlink"/>
      <w:u w:val="single"/>
    </w:rPr>
  </w:style>
  <w:style w:type="table" w:styleId="TableGrid">
    <w:name w:val="Table Grid"/>
    <w:basedOn w:val="TableNormal"/>
    <w:uiPriority w:val="59"/>
    <w:rsid w:val="00B7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78718F"/>
    <w:pPr>
      <w:spacing w:after="0" w:line="240" w:lineRule="auto"/>
    </w:pPr>
    <w:rPr>
      <w:rFonts w:asciiTheme="minorHAnsi" w:hAnsiTheme="minorHAnsi"/>
      <w:sz w:val="22"/>
    </w:rPr>
    <w:tblPr>
      <w:tblStyleRowBandSize w:val="1"/>
      <w:tblStyleColBandSize w:val="1"/>
      <w:tblBorders>
        <w:top w:val="single" w:sz="8" w:space="0" w:color="F7941E" w:themeColor="accent1"/>
        <w:left w:val="single" w:sz="8" w:space="0" w:color="F7941E" w:themeColor="accent1"/>
        <w:bottom w:val="single" w:sz="8" w:space="0" w:color="F7941E" w:themeColor="accent1"/>
        <w:right w:val="single" w:sz="8" w:space="0" w:color="F7941E" w:themeColor="accent1"/>
        <w:insideH w:val="single" w:sz="8" w:space="0" w:color="F7941E" w:themeColor="accent1"/>
        <w:insideV w:val="single" w:sz="8" w:space="0" w:color="F7941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41E" w:themeColor="accent1"/>
          <w:left w:val="single" w:sz="8" w:space="0" w:color="F7941E" w:themeColor="accent1"/>
          <w:bottom w:val="single" w:sz="18" w:space="0" w:color="F7941E" w:themeColor="accent1"/>
          <w:right w:val="single" w:sz="8" w:space="0" w:color="F7941E" w:themeColor="accent1"/>
          <w:insideH w:val="nil"/>
          <w:insideV w:val="single" w:sz="8" w:space="0" w:color="F7941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41E" w:themeColor="accent1"/>
          <w:left w:val="single" w:sz="8" w:space="0" w:color="F7941E" w:themeColor="accent1"/>
          <w:bottom w:val="single" w:sz="8" w:space="0" w:color="F7941E" w:themeColor="accent1"/>
          <w:right w:val="single" w:sz="8" w:space="0" w:color="F7941E" w:themeColor="accent1"/>
          <w:insideH w:val="nil"/>
          <w:insideV w:val="single" w:sz="8" w:space="0" w:color="F7941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41E" w:themeColor="accent1"/>
          <w:left w:val="single" w:sz="8" w:space="0" w:color="F7941E" w:themeColor="accent1"/>
          <w:bottom w:val="single" w:sz="8" w:space="0" w:color="F7941E" w:themeColor="accent1"/>
          <w:right w:val="single" w:sz="8" w:space="0" w:color="F7941E" w:themeColor="accent1"/>
        </w:tcBorders>
      </w:tcPr>
    </w:tblStylePr>
    <w:tblStylePr w:type="band1Vert">
      <w:tblPr/>
      <w:tcPr>
        <w:tcBorders>
          <w:top w:val="single" w:sz="8" w:space="0" w:color="F7941E" w:themeColor="accent1"/>
          <w:left w:val="single" w:sz="8" w:space="0" w:color="F7941E" w:themeColor="accent1"/>
          <w:bottom w:val="single" w:sz="8" w:space="0" w:color="F7941E" w:themeColor="accent1"/>
          <w:right w:val="single" w:sz="8" w:space="0" w:color="F7941E" w:themeColor="accent1"/>
        </w:tcBorders>
        <w:shd w:val="clear" w:color="auto" w:fill="FDE4C7" w:themeFill="accent1" w:themeFillTint="3F"/>
      </w:tcPr>
    </w:tblStylePr>
    <w:tblStylePr w:type="band1Horz">
      <w:tblPr/>
      <w:tcPr>
        <w:tcBorders>
          <w:top w:val="single" w:sz="8" w:space="0" w:color="F7941E" w:themeColor="accent1"/>
          <w:left w:val="single" w:sz="8" w:space="0" w:color="F7941E" w:themeColor="accent1"/>
          <w:bottom w:val="single" w:sz="8" w:space="0" w:color="F7941E" w:themeColor="accent1"/>
          <w:right w:val="single" w:sz="8" w:space="0" w:color="F7941E" w:themeColor="accent1"/>
          <w:insideV w:val="single" w:sz="8" w:space="0" w:color="F7941E" w:themeColor="accent1"/>
        </w:tcBorders>
        <w:shd w:val="clear" w:color="auto" w:fill="FDE4C7" w:themeFill="accent1" w:themeFillTint="3F"/>
      </w:tcPr>
    </w:tblStylePr>
    <w:tblStylePr w:type="band2Horz">
      <w:tblPr/>
      <w:tcPr>
        <w:tcBorders>
          <w:top w:val="single" w:sz="8" w:space="0" w:color="F7941E" w:themeColor="accent1"/>
          <w:left w:val="single" w:sz="8" w:space="0" w:color="F7941E" w:themeColor="accent1"/>
          <w:bottom w:val="single" w:sz="8" w:space="0" w:color="F7941E" w:themeColor="accent1"/>
          <w:right w:val="single" w:sz="8" w:space="0" w:color="F7941E" w:themeColor="accent1"/>
          <w:insideV w:val="single" w:sz="8" w:space="0" w:color="F7941E" w:themeColor="accent1"/>
        </w:tcBorders>
      </w:tcPr>
    </w:tblStylePr>
  </w:style>
  <w:style w:type="paragraph" w:customStyle="1" w:styleId="TableParagraph">
    <w:name w:val="Table Paragraph"/>
    <w:basedOn w:val="Normal"/>
    <w:uiPriority w:val="1"/>
    <w:qFormat/>
    <w:rsid w:val="00637836"/>
    <w:pPr>
      <w:widowControl w:val="0"/>
    </w:pPr>
    <w:rPr>
      <w:rFonts w:asciiTheme="minorHAnsi" w:hAnsiTheme="minorHAnsi"/>
      <w:sz w:val="22"/>
    </w:rPr>
  </w:style>
  <w:style w:type="paragraph" w:styleId="ListParagraph">
    <w:name w:val="List Paragraph"/>
    <w:basedOn w:val="Normal"/>
    <w:uiPriority w:val="34"/>
    <w:qFormat/>
    <w:rsid w:val="00BF0605"/>
    <w:pPr>
      <w:ind w:left="720"/>
      <w:contextualSpacing/>
    </w:pPr>
  </w:style>
  <w:style w:type="paragraph" w:styleId="NormalWeb">
    <w:name w:val="Normal (Web)"/>
    <w:basedOn w:val="Normal"/>
    <w:uiPriority w:val="99"/>
    <w:unhideWhenUsed/>
    <w:rsid w:val="001F636C"/>
    <w:pPr>
      <w:spacing w:before="100" w:beforeAutospacing="1" w:after="100" w:afterAutospacing="1"/>
    </w:pPr>
    <w:rPr>
      <w:rFonts w:ascii="Times New Roman" w:hAnsi="Times New Roman" w:cs="Times New Roman"/>
      <w:szCs w:val="24"/>
    </w:rPr>
  </w:style>
  <w:style w:type="paragraph" w:styleId="BalloonText">
    <w:name w:val="Balloon Text"/>
    <w:basedOn w:val="Normal"/>
    <w:link w:val="BalloonTextChar"/>
    <w:uiPriority w:val="99"/>
    <w:semiHidden/>
    <w:unhideWhenUsed/>
    <w:rsid w:val="001B565A"/>
    <w:rPr>
      <w:rFonts w:ascii="Tahoma" w:hAnsi="Tahoma" w:cs="Tahoma"/>
      <w:sz w:val="16"/>
      <w:szCs w:val="16"/>
    </w:rPr>
  </w:style>
  <w:style w:type="character" w:customStyle="1" w:styleId="BalloonTextChar">
    <w:name w:val="Balloon Text Char"/>
    <w:basedOn w:val="DefaultParagraphFont"/>
    <w:link w:val="BalloonText"/>
    <w:uiPriority w:val="99"/>
    <w:semiHidden/>
    <w:rsid w:val="001B565A"/>
    <w:rPr>
      <w:rFonts w:ascii="Tahoma" w:hAnsi="Tahoma" w:cs="Tahoma"/>
      <w:sz w:val="16"/>
      <w:szCs w:val="16"/>
    </w:rPr>
  </w:style>
  <w:style w:type="paragraph" w:styleId="Caption">
    <w:name w:val="caption"/>
    <w:basedOn w:val="Normal"/>
    <w:next w:val="Normal"/>
    <w:uiPriority w:val="35"/>
    <w:qFormat/>
    <w:rsid w:val="001B565A"/>
    <w:pPr>
      <w:widowControl w:val="0"/>
      <w:autoSpaceDE w:val="0"/>
      <w:autoSpaceDN w:val="0"/>
      <w:adjustRightInd w:val="0"/>
      <w:spacing w:after="200"/>
    </w:pPr>
    <w:rPr>
      <w:rFonts w:ascii="Calibri" w:eastAsia="Times New Roman" w:hAnsi="Calibri" w:cs="Times New Roman"/>
      <w:b/>
      <w:color w:val="4F81BD"/>
      <w:sz w:val="18"/>
      <w:szCs w:val="18"/>
    </w:rPr>
  </w:style>
  <w:style w:type="character" w:customStyle="1" w:styleId="DeltaViewInsertion">
    <w:name w:val="DeltaView Insertion"/>
    <w:uiPriority w:val="99"/>
    <w:rsid w:val="001B565A"/>
    <w:rPr>
      <w:color w:val="0000FF"/>
      <w:u w:val="double"/>
    </w:rPr>
  </w:style>
  <w:style w:type="character" w:customStyle="1" w:styleId="DeltaViewDeletion">
    <w:name w:val="DeltaView Deletion"/>
    <w:uiPriority w:val="99"/>
    <w:rsid w:val="001B565A"/>
    <w:rPr>
      <w:strike/>
      <w:color w:val="FF0000"/>
    </w:rPr>
  </w:style>
  <w:style w:type="character" w:styleId="CommentReference">
    <w:name w:val="annotation reference"/>
    <w:basedOn w:val="DefaultParagraphFont"/>
    <w:uiPriority w:val="99"/>
    <w:semiHidden/>
    <w:unhideWhenUsed/>
    <w:rsid w:val="00E660E7"/>
    <w:rPr>
      <w:sz w:val="16"/>
      <w:szCs w:val="16"/>
    </w:rPr>
  </w:style>
  <w:style w:type="paragraph" w:styleId="CommentText">
    <w:name w:val="annotation text"/>
    <w:basedOn w:val="Normal"/>
    <w:link w:val="CommentTextChar"/>
    <w:uiPriority w:val="99"/>
    <w:unhideWhenUsed/>
    <w:rsid w:val="00E660E7"/>
    <w:rPr>
      <w:sz w:val="20"/>
      <w:szCs w:val="20"/>
    </w:rPr>
  </w:style>
  <w:style w:type="character" w:customStyle="1" w:styleId="CommentTextChar">
    <w:name w:val="Comment Text Char"/>
    <w:basedOn w:val="DefaultParagraphFont"/>
    <w:link w:val="CommentText"/>
    <w:uiPriority w:val="99"/>
    <w:rsid w:val="00E660E7"/>
    <w:rPr>
      <w:sz w:val="20"/>
      <w:szCs w:val="20"/>
    </w:rPr>
  </w:style>
  <w:style w:type="paragraph" w:styleId="CommentSubject">
    <w:name w:val="annotation subject"/>
    <w:basedOn w:val="CommentText"/>
    <w:next w:val="CommentText"/>
    <w:link w:val="CommentSubjectChar"/>
    <w:uiPriority w:val="99"/>
    <w:semiHidden/>
    <w:unhideWhenUsed/>
    <w:rsid w:val="00E660E7"/>
    <w:rPr>
      <w:b/>
      <w:bCs/>
    </w:rPr>
  </w:style>
  <w:style w:type="character" w:customStyle="1" w:styleId="CommentSubjectChar">
    <w:name w:val="Comment Subject Char"/>
    <w:basedOn w:val="CommentTextChar"/>
    <w:link w:val="CommentSubject"/>
    <w:uiPriority w:val="99"/>
    <w:semiHidden/>
    <w:rsid w:val="00E660E7"/>
    <w:rPr>
      <w:b/>
      <w:bCs/>
      <w:sz w:val="20"/>
      <w:szCs w:val="20"/>
    </w:rPr>
  </w:style>
  <w:style w:type="character" w:styleId="FollowedHyperlink">
    <w:name w:val="FollowedHyperlink"/>
    <w:basedOn w:val="DefaultParagraphFont"/>
    <w:uiPriority w:val="99"/>
    <w:semiHidden/>
    <w:unhideWhenUsed/>
    <w:rsid w:val="002D75A9"/>
    <w:rPr>
      <w:color w:val="9EA1A8" w:themeColor="followedHyperlink"/>
      <w:u w:val="single"/>
    </w:rPr>
  </w:style>
  <w:style w:type="paragraph" w:styleId="Revision">
    <w:name w:val="Revision"/>
    <w:hidden/>
    <w:uiPriority w:val="99"/>
    <w:semiHidden/>
    <w:rsid w:val="00150406"/>
    <w:pPr>
      <w:spacing w:after="0" w:line="240" w:lineRule="auto"/>
    </w:pPr>
  </w:style>
  <w:style w:type="paragraph" w:styleId="NoSpacing">
    <w:name w:val="No Spacing"/>
    <w:uiPriority w:val="1"/>
    <w:qFormat/>
    <w:rsid w:val="00B4008E"/>
    <w:pPr>
      <w:spacing w:after="0" w:line="240" w:lineRule="auto"/>
    </w:pPr>
  </w:style>
  <w:style w:type="character" w:styleId="Strong">
    <w:name w:val="Strong"/>
    <w:basedOn w:val="DefaultParagraphFont"/>
    <w:uiPriority w:val="22"/>
    <w:qFormat/>
    <w:rsid w:val="00C210B2"/>
    <w:rPr>
      <w:rFonts w:ascii="Arial" w:hAnsi="Arial"/>
      <w:b/>
      <w:bCs/>
      <w:color w:val="001D60" w:themeColor="accent4"/>
      <w:sz w:val="22"/>
    </w:rPr>
  </w:style>
  <w:style w:type="character" w:styleId="IntenseEmphasis">
    <w:name w:val="Intense Emphasis"/>
    <w:basedOn w:val="DefaultParagraphFont"/>
    <w:uiPriority w:val="21"/>
    <w:qFormat/>
    <w:rsid w:val="00270F57"/>
    <w:rPr>
      <w:i/>
      <w:iCs/>
      <w:color w:val="F7941E" w:themeColor="accent1"/>
    </w:rPr>
  </w:style>
  <w:style w:type="character" w:customStyle="1" w:styleId="Heading1Char">
    <w:name w:val="Heading 1 Char"/>
    <w:basedOn w:val="DefaultParagraphFont"/>
    <w:link w:val="Heading1"/>
    <w:uiPriority w:val="9"/>
    <w:rsid w:val="00270F57"/>
    <w:rPr>
      <w:rFonts w:asciiTheme="majorHAnsi" w:eastAsiaTheme="majorEastAsia" w:hAnsiTheme="majorHAnsi" w:cstheme="majorBidi"/>
      <w:color w:val="001D60" w:themeColor="accent4"/>
      <w:sz w:val="32"/>
      <w:szCs w:val="32"/>
    </w:rPr>
  </w:style>
  <w:style w:type="character" w:styleId="UnresolvedMention">
    <w:name w:val="Unresolved Mention"/>
    <w:basedOn w:val="DefaultParagraphFont"/>
    <w:uiPriority w:val="99"/>
    <w:semiHidden/>
    <w:unhideWhenUsed/>
    <w:rsid w:val="00863E8F"/>
    <w:rPr>
      <w:color w:val="605E5C"/>
      <w:shd w:val="clear" w:color="auto" w:fill="E1DFDD"/>
    </w:rPr>
  </w:style>
  <w:style w:type="table" w:styleId="GridTable1Light">
    <w:name w:val="Grid Table 1 Light"/>
    <w:basedOn w:val="TableNormal"/>
    <w:uiPriority w:val="46"/>
    <w:rsid w:val="00CE04D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856649">
      <w:bodyDiv w:val="1"/>
      <w:marLeft w:val="0"/>
      <w:marRight w:val="0"/>
      <w:marTop w:val="0"/>
      <w:marBottom w:val="0"/>
      <w:divBdr>
        <w:top w:val="none" w:sz="0" w:space="0" w:color="auto"/>
        <w:left w:val="none" w:sz="0" w:space="0" w:color="auto"/>
        <w:bottom w:val="none" w:sz="0" w:space="0" w:color="auto"/>
        <w:right w:val="none" w:sz="0" w:space="0" w:color="auto"/>
      </w:divBdr>
    </w:div>
    <w:div w:id="862089016">
      <w:bodyDiv w:val="1"/>
      <w:marLeft w:val="0"/>
      <w:marRight w:val="0"/>
      <w:marTop w:val="0"/>
      <w:marBottom w:val="0"/>
      <w:divBdr>
        <w:top w:val="none" w:sz="0" w:space="0" w:color="auto"/>
        <w:left w:val="none" w:sz="0" w:space="0" w:color="auto"/>
        <w:bottom w:val="none" w:sz="0" w:space="0" w:color="auto"/>
        <w:right w:val="none" w:sz="0" w:space="0" w:color="auto"/>
      </w:divBdr>
    </w:div>
    <w:div w:id="1164779910">
      <w:bodyDiv w:val="1"/>
      <w:marLeft w:val="0"/>
      <w:marRight w:val="0"/>
      <w:marTop w:val="0"/>
      <w:marBottom w:val="0"/>
      <w:divBdr>
        <w:top w:val="none" w:sz="0" w:space="0" w:color="auto"/>
        <w:left w:val="none" w:sz="0" w:space="0" w:color="auto"/>
        <w:bottom w:val="none" w:sz="0" w:space="0" w:color="auto"/>
        <w:right w:val="none" w:sz="0" w:space="0" w:color="auto"/>
      </w:divBdr>
    </w:div>
    <w:div w:id="1758867174">
      <w:bodyDiv w:val="1"/>
      <w:marLeft w:val="0"/>
      <w:marRight w:val="0"/>
      <w:marTop w:val="0"/>
      <w:marBottom w:val="0"/>
      <w:divBdr>
        <w:top w:val="none" w:sz="0" w:space="0" w:color="auto"/>
        <w:left w:val="none" w:sz="0" w:space="0" w:color="auto"/>
        <w:bottom w:val="none" w:sz="0" w:space="0" w:color="auto"/>
        <w:right w:val="none" w:sz="0" w:space="0" w:color="auto"/>
      </w:divBdr>
    </w:div>
    <w:div w:id="209809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exusanswers@340Bpvp.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40BPricing@hrsa.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sa.gov/opa/manufacturer-notic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40bpvp.com/ch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Apexus PVP template 2018 16x9">
  <a:themeElements>
    <a:clrScheme name="Apexus Colors">
      <a:dk1>
        <a:sysClr val="windowText" lastClr="000000"/>
      </a:dk1>
      <a:lt1>
        <a:sysClr val="window" lastClr="FFFFFF"/>
      </a:lt1>
      <a:dk2>
        <a:srgbClr val="696969"/>
      </a:dk2>
      <a:lt2>
        <a:srgbClr val="FFC02E"/>
      </a:lt2>
      <a:accent1>
        <a:srgbClr val="F7941E"/>
      </a:accent1>
      <a:accent2>
        <a:srgbClr val="8CC63E"/>
      </a:accent2>
      <a:accent3>
        <a:srgbClr val="0CA0DB"/>
      </a:accent3>
      <a:accent4>
        <a:srgbClr val="001D60"/>
      </a:accent4>
      <a:accent5>
        <a:srgbClr val="001D60"/>
      </a:accent5>
      <a:accent6>
        <a:srgbClr val="9EA1A8"/>
      </a:accent6>
      <a:hlink>
        <a:srgbClr val="0CA0DB"/>
      </a:hlink>
      <a:folHlink>
        <a:srgbClr val="9EA1A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sz="1400" dirty="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cap="sq">
          <a:solidFill>
            <a:schemeClr val="tx2"/>
          </a:solidFill>
          <a:round/>
        </a:ln>
      </a:spPr>
      <a:bodyPr/>
      <a:lstStyle/>
      <a:style>
        <a:lnRef idx="1">
          <a:schemeClr val="accent1"/>
        </a:lnRef>
        <a:fillRef idx="0">
          <a:schemeClr val="accent1"/>
        </a:fillRef>
        <a:effectRef idx="0">
          <a:schemeClr val="accent1"/>
        </a:effectRef>
        <a:fontRef idx="minor">
          <a:schemeClr val="tx1"/>
        </a:fontRef>
      </a:style>
    </a:lnDef>
    <a:txDef>
      <a:spPr>
        <a:ln>
          <a:noFill/>
        </a:ln>
      </a:spPr>
      <a:bodyPr wrap="square" rtlCol="0">
        <a:spAutoFit/>
      </a:bodyPr>
      <a:lstStyle>
        <a:defPPr>
          <a:defRPr dirty="0" err="1" smtClean="0">
            <a:solidFill>
              <a:schemeClr val="tx2"/>
            </a:solidFill>
          </a:defRPr>
        </a:defPPr>
      </a:lstStyle>
    </a:txDef>
  </a:objectDefaults>
  <a:extraClrSchemeLst/>
  <a:extLst>
    <a:ext uri="{05A4C25C-085E-4340-85A3-A5531E510DB2}">
      <thm15:themeFamily xmlns:thm15="http://schemas.microsoft.com/office/thememl/2012/main" name="Presentation1" id="{6DB0923A-B93B-4C0D-B113-BD309E7E1DCC}" vid="{CDCF622E-E679-44E4-A9BB-4B9BEDC93B5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A8882CBF8F014AB9A78F401ABC05E3" ma:contentTypeVersion="15" ma:contentTypeDescription="Create a new document." ma:contentTypeScope="" ma:versionID="5a8f1e1f0f77b4de75f7d14c923425ff">
  <xsd:schema xmlns:xsd="http://www.w3.org/2001/XMLSchema" xmlns:xs="http://www.w3.org/2001/XMLSchema" xmlns:p="http://schemas.microsoft.com/office/2006/metadata/properties" xmlns:ns2="fec37125-375a-4e65-a151-da677c02dbab" xmlns:ns3="defb2410-ab51-4223-8a06-da97ef9a2401" targetNamespace="http://schemas.microsoft.com/office/2006/metadata/properties" ma:root="true" ma:fieldsID="649609227f7d8d1c014b1a54af741d46" ns2:_="" ns3:_="">
    <xsd:import namespace="fec37125-375a-4e65-a151-da677c02dbab"/>
    <xsd:import namespace="defb2410-ab51-4223-8a06-da97ef9a2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7125-375a-4e65-a151-da677c02db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350bbc5-0954-4d44-9987-95a33ddbce4e}" ma:internalName="TaxCatchAll" ma:showField="CatchAllData" ma:web="fec37125-375a-4e65-a151-da677c02db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fb2410-ab51-4223-8a06-da97ef9a2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c239c7-0357-46ea-9034-6060f0abbd2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fb2410-ab51-4223-8a06-da97ef9a2401">
      <Terms xmlns="http://schemas.microsoft.com/office/infopath/2007/PartnerControls"/>
    </lcf76f155ced4ddcb4097134ff3c332f>
    <TaxCatchAll xmlns="fec37125-375a-4e65-a151-da677c02dbab" xsi:nil="true"/>
  </documentManagement>
</p:properties>
</file>

<file path=customXml/itemProps1.xml><?xml version="1.0" encoding="utf-8"?>
<ds:datastoreItem xmlns:ds="http://schemas.openxmlformats.org/officeDocument/2006/customXml" ds:itemID="{DCE10B12-F8BC-42AF-8739-CDF3639EA8F1}">
  <ds:schemaRefs>
    <ds:schemaRef ds:uri="http://schemas.openxmlformats.org/officeDocument/2006/bibliography"/>
  </ds:schemaRefs>
</ds:datastoreItem>
</file>

<file path=customXml/itemProps2.xml><?xml version="1.0" encoding="utf-8"?>
<ds:datastoreItem xmlns:ds="http://schemas.openxmlformats.org/officeDocument/2006/customXml" ds:itemID="{95FDB2BA-E3C6-4274-BE26-D59275899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7125-375a-4e65-a151-da677c02dbab"/>
    <ds:schemaRef ds:uri="defb2410-ab51-4223-8a06-da97ef9a2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73BA27-50AD-4859-A8D5-ADAF98581F58}">
  <ds:schemaRefs>
    <ds:schemaRef ds:uri="http://schemas.microsoft.com/sharepoint/v3/contenttype/forms"/>
  </ds:schemaRefs>
</ds:datastoreItem>
</file>

<file path=customXml/itemProps4.xml><?xml version="1.0" encoding="utf-8"?>
<ds:datastoreItem xmlns:ds="http://schemas.openxmlformats.org/officeDocument/2006/customXml" ds:itemID="{C65CE875-F6EA-4A37-83CF-04201FCD1D3D}">
  <ds:schemaRefs>
    <ds:schemaRef ds:uri="http://purl.org/dc/elements/1.1/"/>
    <ds:schemaRef ds:uri="http://schemas.microsoft.com/office/2006/metadata/properties"/>
    <ds:schemaRef ds:uri="http://www.w3.org/XML/1998/namespace"/>
    <ds:schemaRef ds:uri="defb2410-ab51-4223-8a06-da97ef9a240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fec37125-375a-4e65-a151-da677c02dba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838</Words>
  <Characters>5163</Characters>
  <Application>Microsoft Office Word</Application>
  <DocSecurity>4</DocSecurity>
  <Lines>43</Lines>
  <Paragraphs>11</Paragraphs>
  <ScaleCrop>false</ScaleCrop>
  <Company>VHA Inc.</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Magaha, Gavin</dc:creator>
  <cp:lastModifiedBy>Peters,Michael</cp:lastModifiedBy>
  <cp:revision>2</cp:revision>
  <dcterms:created xsi:type="dcterms:W3CDTF">2024-06-04T14:41:00Z</dcterms:created>
  <dcterms:modified xsi:type="dcterms:W3CDTF">2024-06-04T14:41:00Z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d1d89c490a3061b54551a6e05a267fba634c15f889b7f53a7f4c83ddbbdd37b7</vt:lpwstr>
  </property>
  <property fmtid="{D5CDD505-2E9C-101B-9397-08002B2CF9AE}" pid="4" name="ContentTypeId">
    <vt:lpwstr>0x010100DCA8882CBF8F014AB9A78F401ABC05E3</vt:lpwstr>
  </property>
  <property fmtid="{D5CDD505-2E9C-101B-9397-08002B2CF9AE}" pid="5" name="MediaServiceImageTags">
    <vt:lpwstr/>
  </property>
</Properties>
</file>